
<file path=[Content_Types].xml><?xml version="1.0" encoding="utf-8"?>
<Types xmlns="http://schemas.openxmlformats.org/package/2006/content-types">
  <Default Extension="xml" ContentType="application/xml"/>
  <Default Extension="xlsx" ContentType="application/vnd.openxmlformats-officedocument.spreadsheetml.sheet"/>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outlineLvl w:val="0"/>
        <w:rPr>
          <w:rFonts w:ascii="方正小标宋简体" w:hAnsi="宋体" w:eastAsia="方正小标宋简体"/>
          <w:color w:val="000000"/>
          <w:sz w:val="72"/>
          <w:szCs w:val="72"/>
        </w:rPr>
      </w:pPr>
      <w:bookmarkStart w:id="0" w:name="_Toc15306267"/>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spacing w:line="600" w:lineRule="exact"/>
        <w:jc w:val="center"/>
        <w:outlineLvl w:val="0"/>
        <w:rPr>
          <w:rFonts w:ascii="方正小标宋简体" w:hAnsi="宋体" w:eastAsia="方正小标宋简体"/>
          <w:color w:val="000000"/>
          <w:sz w:val="72"/>
          <w:szCs w:val="72"/>
        </w:rPr>
      </w:pPr>
    </w:p>
    <w:p>
      <w:pPr>
        <w:adjustRightInd w:val="0"/>
        <w:snapToGrid w:val="0"/>
        <w:spacing w:line="360" w:lineRule="auto"/>
        <w:jc w:val="center"/>
        <w:outlineLvl w:val="0"/>
        <w:rPr>
          <w:rFonts w:ascii="方正小标宋简体" w:hAnsi="宋体" w:eastAsia="方正小标宋简体"/>
          <w:color w:val="000000"/>
          <w:sz w:val="72"/>
          <w:szCs w:val="72"/>
        </w:rPr>
      </w:pPr>
      <w:bookmarkStart w:id="1" w:name="_Toc15396597"/>
      <w:bookmarkStart w:id="2" w:name="_Toc15378441"/>
      <w:bookmarkStart w:id="3" w:name="_Toc15377425"/>
      <w:bookmarkStart w:id="4" w:name="_Toc15396475"/>
      <w:bookmarkStart w:id="5" w:name="_Toc15377193"/>
      <w:r>
        <w:rPr>
          <w:rFonts w:ascii="黑体" w:hAnsi="黑体" w:eastAsia="黑体"/>
          <w:color w:val="000000"/>
          <w:sz w:val="72"/>
          <w:szCs w:val="72"/>
        </w:rPr>
        <w:t>201</w:t>
      </w:r>
      <w:r>
        <w:rPr>
          <w:rFonts w:hint="eastAsia" w:ascii="黑体" w:hAnsi="黑体" w:eastAsia="黑体"/>
          <w:color w:val="000000"/>
          <w:sz w:val="72"/>
          <w:szCs w:val="72"/>
        </w:rPr>
        <w:t>8</w:t>
      </w:r>
      <w:r>
        <w:rPr>
          <w:rFonts w:hint="eastAsia" w:ascii="方正小标宋简体" w:hAnsi="宋体" w:eastAsia="方正小标宋简体"/>
          <w:color w:val="000000"/>
          <w:sz w:val="72"/>
          <w:szCs w:val="72"/>
        </w:rPr>
        <w:t>年度</w:t>
      </w:r>
      <w:bookmarkEnd w:id="1"/>
      <w:bookmarkEnd w:id="2"/>
      <w:bookmarkEnd w:id="3"/>
      <w:bookmarkEnd w:id="4"/>
      <w:bookmarkEnd w:id="5"/>
    </w:p>
    <w:p>
      <w:pPr>
        <w:adjustRightInd w:val="0"/>
        <w:snapToGrid w:val="0"/>
        <w:spacing w:line="360" w:lineRule="auto"/>
        <w:jc w:val="center"/>
        <w:outlineLvl w:val="0"/>
        <w:rPr>
          <w:rFonts w:ascii="方正小标宋简体" w:hAnsi="宋体" w:eastAsia="方正小标宋简体"/>
          <w:color w:val="000000"/>
          <w:sz w:val="72"/>
          <w:szCs w:val="72"/>
        </w:rPr>
      </w:pPr>
      <w:bookmarkStart w:id="6" w:name="_Toc15377426"/>
      <w:bookmarkStart w:id="7" w:name="_Toc15378442"/>
      <w:bookmarkStart w:id="8" w:name="_Toc15396598"/>
      <w:bookmarkStart w:id="9" w:name="_Toc15396476"/>
      <w:bookmarkStart w:id="10" w:name="_Toc15377194"/>
      <w:r>
        <w:rPr>
          <w:rFonts w:hint="eastAsia" w:ascii="方正小标宋简体" w:hAnsi="宋体" w:eastAsia="方正小标宋简体"/>
          <w:color w:val="000000"/>
          <w:sz w:val="72"/>
          <w:szCs w:val="72"/>
        </w:rPr>
        <w:t>阿坝州</w:t>
      </w:r>
      <w:bookmarkEnd w:id="0"/>
      <w:bookmarkStart w:id="11" w:name="_Toc15306268"/>
      <w:r>
        <w:rPr>
          <w:rFonts w:hint="eastAsia" w:ascii="方正小标宋简体" w:hAnsi="宋体" w:eastAsia="方正小标宋简体"/>
          <w:color w:val="000000"/>
          <w:sz w:val="72"/>
          <w:szCs w:val="72"/>
        </w:rPr>
        <w:t>地质环境监测站和阿坝州不动产登记中心部门决算</w:t>
      </w:r>
      <w:bookmarkEnd w:id="6"/>
      <w:bookmarkEnd w:id="7"/>
      <w:bookmarkEnd w:id="8"/>
      <w:bookmarkEnd w:id="9"/>
      <w:bookmarkEnd w:id="10"/>
      <w:bookmarkEnd w:id="11"/>
    </w:p>
    <w:p>
      <w:pPr>
        <w:widowControl/>
        <w:jc w:val="center"/>
        <w:rPr>
          <w:rFonts w:ascii="黑体" w:hAnsi="黑体" w:eastAsia="黑体"/>
          <w:color w:val="000000"/>
          <w:sz w:val="48"/>
          <w:szCs w:val="48"/>
        </w:rPr>
      </w:pPr>
      <w:r>
        <w:rPr>
          <w:rFonts w:ascii="方正小标宋简体" w:hAnsi="宋体" w:eastAsia="方正小标宋简体"/>
          <w:color w:val="000000"/>
          <w:sz w:val="36"/>
          <w:szCs w:val="36"/>
        </w:rPr>
        <w:br w:type="page"/>
      </w:r>
      <w:r>
        <w:rPr>
          <w:rFonts w:hint="eastAsia" w:ascii="黑体" w:hAnsi="黑体" w:eastAsia="黑体"/>
          <w:color w:val="000000"/>
          <w:sz w:val="48"/>
          <w:szCs w:val="48"/>
        </w:rPr>
        <w:t>目录</w:t>
      </w:r>
    </w:p>
    <w:p>
      <w:pPr>
        <w:widowControl/>
        <w:jc w:val="center"/>
        <w:rPr>
          <w:rFonts w:ascii="黑体" w:hAnsi="黑体" w:eastAsia="黑体" w:cstheme="minorBidi"/>
          <w:sz w:val="28"/>
          <w:szCs w:val="28"/>
        </w:rPr>
      </w:pPr>
      <w:r>
        <w:rPr>
          <w:rFonts w:ascii="黑体" w:hAnsi="黑体" w:eastAsia="黑体"/>
          <w:color w:val="000000"/>
          <w:sz w:val="48"/>
          <w:szCs w:val="48"/>
        </w:rPr>
        <w:fldChar w:fldCharType="begin"/>
      </w:r>
      <w:r>
        <w:rPr>
          <w:rFonts w:ascii="黑体" w:hAnsi="黑体" w:eastAsia="黑体"/>
          <w:color w:val="000000"/>
          <w:sz w:val="48"/>
          <w:szCs w:val="48"/>
        </w:rPr>
        <w:instrText xml:space="preserve"> TOC \o "1-2" \h \z \u </w:instrText>
      </w:r>
      <w:r>
        <w:rPr>
          <w:rFonts w:ascii="黑体" w:hAnsi="黑体" w:eastAsia="黑体"/>
          <w:color w:val="000000"/>
          <w:sz w:val="48"/>
          <w:szCs w:val="48"/>
        </w:rPr>
        <w:fldChar w:fldCharType="separate"/>
      </w:r>
    </w:p>
    <w:p>
      <w:pPr>
        <w:pStyle w:val="10"/>
      </w:pPr>
      <w:r>
        <w:rPr>
          <w:rFonts w:hint="eastAsia"/>
        </w:rPr>
        <w:t>公开时间：2019年</w:t>
      </w:r>
      <w:r>
        <w:t>9</w:t>
      </w:r>
      <w:r>
        <w:rPr>
          <w:rFonts w:hint="eastAsia"/>
        </w:rPr>
        <w:t>月29日</w:t>
      </w:r>
    </w:p>
    <w:p/>
    <w:p>
      <w:pPr>
        <w:pStyle w:val="10"/>
        <w:rPr>
          <w:rFonts w:cstheme="minorBidi"/>
        </w:rPr>
      </w:pPr>
      <w:r>
        <w:fldChar w:fldCharType="begin"/>
      </w:r>
      <w:r>
        <w:instrText xml:space="preserve"> HYPERLINK \l "_Toc15396599" </w:instrText>
      </w:r>
      <w:r>
        <w:fldChar w:fldCharType="separate"/>
      </w:r>
      <w:r>
        <w:rPr>
          <w:rStyle w:val="14"/>
          <w:rFonts w:hint="eastAsia"/>
        </w:rPr>
        <w:t>第一部分</w:t>
      </w:r>
      <w:r>
        <w:rPr>
          <w:rStyle w:val="14"/>
        </w:rPr>
        <w:t xml:space="preserve"> </w:t>
      </w:r>
      <w:r>
        <w:rPr>
          <w:rStyle w:val="14"/>
          <w:rFonts w:hint="eastAsia"/>
        </w:rPr>
        <w:t>部门概况</w:t>
      </w:r>
      <w:r>
        <w:tab/>
      </w:r>
      <w:r>
        <w:rPr>
          <w:rFonts w:hint="eastAsia"/>
        </w:rPr>
        <w:t>4</w:t>
      </w:r>
      <w:r>
        <w:rPr>
          <w:rFonts w:hint="eastAsia"/>
        </w:rPr>
        <w:fldChar w:fldCharType="end"/>
      </w:r>
    </w:p>
    <w:p>
      <w:pPr>
        <w:pStyle w:val="11"/>
        <w:rPr>
          <w:rFonts w:ascii="仿宋" w:hAnsi="仿宋" w:eastAsia="仿宋" w:cstheme="minorBidi"/>
          <w:sz w:val="28"/>
          <w:szCs w:val="28"/>
        </w:rPr>
      </w:pPr>
      <w:r>
        <w:fldChar w:fldCharType="begin"/>
      </w:r>
      <w:r>
        <w:instrText xml:space="preserve"> HYPERLINK \l "_Toc15396600" </w:instrText>
      </w:r>
      <w:r>
        <w:fldChar w:fldCharType="separate"/>
      </w:r>
      <w:r>
        <w:rPr>
          <w:rStyle w:val="14"/>
          <w:rFonts w:hint="eastAsia" w:ascii="仿宋" w:hAnsi="仿宋" w:eastAsia="仿宋"/>
          <w:sz w:val="28"/>
          <w:szCs w:val="28"/>
        </w:rPr>
        <w:t>一、基本职能及主要工作</w:t>
      </w:r>
      <w:r>
        <w:rPr>
          <w:rFonts w:ascii="仿宋" w:hAnsi="仿宋" w:eastAsia="仿宋"/>
          <w:sz w:val="28"/>
          <w:szCs w:val="28"/>
        </w:rPr>
        <w:tab/>
      </w:r>
      <w:r>
        <w:rPr>
          <w:rFonts w:hint="eastAsia" w:ascii="仿宋" w:hAnsi="仿宋" w:eastAsia="仿宋"/>
          <w:sz w:val="28"/>
          <w:szCs w:val="28"/>
        </w:rPr>
        <w:t>4</w:t>
      </w:r>
      <w:r>
        <w:rPr>
          <w:rFonts w:hint="eastAsia"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"_Toc15396601" </w:instrText>
      </w:r>
      <w:r>
        <w:fldChar w:fldCharType="separate"/>
      </w:r>
      <w:r>
        <w:rPr>
          <w:rStyle w:val="14"/>
          <w:rFonts w:hint="eastAsia" w:ascii="仿宋" w:hAnsi="仿宋" w:eastAsia="仿宋"/>
          <w:sz w:val="28"/>
          <w:szCs w:val="28"/>
        </w:rPr>
        <w:t>二、机构设置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_Toc15396601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0"/>
      </w:pPr>
      <w:r>
        <w:fldChar w:fldCharType="begin"/>
      </w:r>
      <w:r>
        <w:instrText xml:space="preserve"> HYPERLINK \l "_Toc15396602" </w:instrText>
      </w:r>
      <w:r>
        <w:fldChar w:fldCharType="separate"/>
      </w:r>
      <w:r>
        <w:rPr>
          <w:rStyle w:val="14"/>
          <w:rFonts w:hint="eastAsia"/>
        </w:rPr>
        <w:t>第二部分</w:t>
      </w:r>
      <w:r>
        <w:rPr>
          <w:rStyle w:val="14"/>
        </w:rPr>
        <w:t xml:space="preserve"> 2018</w:t>
      </w:r>
      <w:r>
        <w:rPr>
          <w:rStyle w:val="14"/>
          <w:rFonts w:hint="eastAsia"/>
        </w:rPr>
        <w:t>年度部门决算情况说明</w:t>
      </w:r>
      <w:r>
        <w:tab/>
      </w:r>
      <w:r>
        <w:fldChar w:fldCharType="begin"/>
      </w:r>
      <w:r>
        <w:instrText xml:space="preserve"> PAGEREF _Toc15396602 \h </w:instrText>
      </w:r>
      <w:r>
        <w:fldChar w:fldCharType="separate"/>
      </w:r>
      <w:r>
        <w:t>6</w:t>
      </w:r>
      <w:r>
        <w:fldChar w:fldCharType="end"/>
      </w:r>
      <w:r>
        <w:fldChar w:fldCharType="end"/>
      </w:r>
    </w:p>
    <w:p>
      <w:pPr>
        <w:pStyle w:val="11"/>
        <w:rPr>
          <w:rFonts w:ascii="仿宋" w:hAnsi="仿宋" w:eastAsia="仿宋" w:cstheme="minorBidi"/>
          <w:sz w:val="28"/>
          <w:szCs w:val="28"/>
        </w:rPr>
      </w:pPr>
      <w:r>
        <w:fldChar w:fldCharType="begin"/>
      </w:r>
      <w:r>
        <w:instrText xml:space="preserve"> HYPERLINK \l "_Toc15396603" </w:instrText>
      </w:r>
      <w:r>
        <w:fldChar w:fldCharType="separate"/>
      </w:r>
      <w:r>
        <w:rPr>
          <w:rStyle w:val="14"/>
          <w:rFonts w:hint="eastAsia" w:ascii="仿宋" w:hAnsi="仿宋" w:eastAsia="仿宋" w:cstheme="majorBidi"/>
          <w:bCs/>
          <w:sz w:val="28"/>
          <w:szCs w:val="28"/>
        </w:rPr>
        <w:t>一、</w:t>
      </w:r>
      <w:r>
        <w:rPr>
          <w:rStyle w:val="14"/>
          <w:rFonts w:hint="eastAsia" w:ascii="仿宋" w:hAnsi="仿宋" w:eastAsia="仿宋"/>
          <w:sz w:val="28"/>
          <w:szCs w:val="28"/>
        </w:rPr>
        <w:t>收</w:t>
      </w:r>
      <w:r>
        <w:rPr>
          <w:rStyle w:val="14"/>
          <w:rFonts w:hint="eastAsia" w:ascii="仿宋" w:hAnsi="仿宋" w:eastAsia="仿宋" w:cstheme="majorBidi"/>
          <w:bCs/>
          <w:sz w:val="28"/>
          <w:szCs w:val="28"/>
        </w:rPr>
        <w:t>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_Toc15396603 \h </w:instrText>
      </w:r>
      <w:r>
        <w:rPr>
          <w:rFonts w:ascii="仿宋" w:hAnsi="仿宋" w:eastAsia="仿宋"/>
          <w:sz w:val="28"/>
          <w:szCs w:val="28"/>
        </w:rPr>
        <w:fldChar w:fldCharType="separate"/>
      </w:r>
      <w:r>
        <w:rPr>
          <w:rFonts w:ascii="仿宋" w:hAnsi="仿宋" w:eastAsia="仿宋"/>
          <w:sz w:val="28"/>
          <w:szCs w:val="28"/>
        </w:rPr>
        <w:t>6</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"_Toc15396604" </w:instrText>
      </w:r>
      <w:r>
        <w:fldChar w:fldCharType="separate"/>
      </w:r>
      <w:r>
        <w:rPr>
          <w:rStyle w:val="14"/>
          <w:rFonts w:hint="eastAsia" w:ascii="仿宋" w:hAnsi="仿宋" w:eastAsia="仿宋" w:cstheme="majorBidi"/>
          <w:bCs/>
          <w:sz w:val="28"/>
          <w:szCs w:val="28"/>
        </w:rPr>
        <w:t>二、</w:t>
      </w:r>
      <w:r>
        <w:rPr>
          <w:rStyle w:val="14"/>
          <w:rFonts w:hint="eastAsia" w:ascii="仿宋" w:hAnsi="仿宋" w:eastAsia="仿宋"/>
          <w:sz w:val="28"/>
          <w:szCs w:val="28"/>
        </w:rPr>
        <w:t>收</w:t>
      </w:r>
      <w:r>
        <w:rPr>
          <w:rStyle w:val="14"/>
          <w:rFonts w:hint="eastAsia" w:ascii="仿宋" w:hAnsi="仿宋" w:eastAsia="仿宋" w:cstheme="majorBidi"/>
          <w:bCs/>
          <w:sz w:val="28"/>
          <w:szCs w:val="28"/>
        </w:rPr>
        <w:t>入决算情况说明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_Toc15396604 \h </w:instrText>
      </w:r>
      <w:r>
        <w:rPr>
          <w:rFonts w:ascii="仿宋" w:hAnsi="仿宋" w:eastAsia="仿宋"/>
          <w:sz w:val="28"/>
          <w:szCs w:val="28"/>
        </w:rPr>
        <w:fldChar w:fldCharType="separate"/>
      </w:r>
      <w:r>
        <w:rPr>
          <w:rFonts w:ascii="仿宋" w:hAnsi="仿宋" w:eastAsia="仿宋"/>
          <w:sz w:val="28"/>
          <w:szCs w:val="28"/>
        </w:rPr>
        <w:t>7</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"_Toc15396605" </w:instrText>
      </w:r>
      <w:r>
        <w:fldChar w:fldCharType="separate"/>
      </w:r>
      <w:r>
        <w:rPr>
          <w:rStyle w:val="14"/>
          <w:rFonts w:hint="eastAsia" w:ascii="仿宋" w:hAnsi="仿宋" w:eastAsia="仿宋" w:cstheme="majorBidi"/>
          <w:bCs/>
          <w:sz w:val="28"/>
          <w:szCs w:val="28"/>
        </w:rPr>
        <w:t>三、</w:t>
      </w:r>
      <w:r>
        <w:rPr>
          <w:rStyle w:val="14"/>
          <w:rFonts w:hint="eastAsia" w:ascii="仿宋" w:hAnsi="仿宋" w:eastAsia="仿宋"/>
          <w:sz w:val="28"/>
          <w:szCs w:val="28"/>
        </w:rPr>
        <w:t>支</w:t>
      </w:r>
      <w:r>
        <w:rPr>
          <w:rStyle w:val="14"/>
          <w:rFonts w:hint="eastAsia" w:ascii="仿宋" w:hAnsi="仿宋" w:eastAsia="仿宋" w:cstheme="majorBidi"/>
          <w:bCs/>
          <w:sz w:val="28"/>
          <w:szCs w:val="28"/>
        </w:rPr>
        <w:t>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_Toc15396605 \h </w:instrText>
      </w:r>
      <w:r>
        <w:rPr>
          <w:rFonts w:ascii="仿宋" w:hAnsi="仿宋" w:eastAsia="仿宋"/>
          <w:sz w:val="28"/>
          <w:szCs w:val="28"/>
        </w:rPr>
        <w:fldChar w:fldCharType="separate"/>
      </w:r>
      <w:r>
        <w:rPr>
          <w:rFonts w:ascii="仿宋" w:hAnsi="仿宋" w:eastAsia="仿宋"/>
          <w:sz w:val="28"/>
          <w:szCs w:val="28"/>
        </w:rPr>
        <w:t>8</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"_Toc15396606" </w:instrText>
      </w:r>
      <w:r>
        <w:fldChar w:fldCharType="separate"/>
      </w:r>
      <w:r>
        <w:rPr>
          <w:rStyle w:val="14"/>
          <w:rFonts w:hint="eastAsia" w:ascii="仿宋" w:hAnsi="仿宋" w:eastAsia="仿宋"/>
          <w:sz w:val="28"/>
          <w:szCs w:val="28"/>
        </w:rPr>
        <w:t>四、财</w:t>
      </w:r>
      <w:r>
        <w:rPr>
          <w:rStyle w:val="14"/>
          <w:rFonts w:hint="eastAsia" w:ascii="仿宋" w:hAnsi="仿宋" w:eastAsia="仿宋" w:cstheme="majorBidi"/>
          <w:bCs/>
          <w:sz w:val="28"/>
          <w:szCs w:val="28"/>
        </w:rPr>
        <w:t>政拨款收入支出决算总体情况说明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_Toc15396606 \h </w:instrText>
      </w:r>
      <w:r>
        <w:rPr>
          <w:rFonts w:ascii="仿宋" w:hAnsi="仿宋" w:eastAsia="仿宋"/>
          <w:sz w:val="28"/>
          <w:szCs w:val="28"/>
        </w:rPr>
        <w:fldChar w:fldCharType="separate"/>
      </w:r>
      <w:r>
        <w:rPr>
          <w:rFonts w:ascii="仿宋" w:hAnsi="仿宋" w:eastAsia="仿宋"/>
          <w:sz w:val="28"/>
          <w:szCs w:val="28"/>
        </w:rPr>
        <w:t>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"_Toc15396607" </w:instrText>
      </w:r>
      <w:r>
        <w:fldChar w:fldCharType="separate"/>
      </w:r>
      <w:r>
        <w:rPr>
          <w:rStyle w:val="14"/>
          <w:rFonts w:hint="eastAsia" w:ascii="仿宋" w:hAnsi="仿宋" w:eastAsia="仿宋"/>
          <w:sz w:val="28"/>
          <w:szCs w:val="28"/>
        </w:rPr>
        <w:t>五、一</w:t>
      </w:r>
      <w:r>
        <w:rPr>
          <w:rStyle w:val="14"/>
          <w:rFonts w:hint="eastAsia" w:ascii="仿宋" w:hAnsi="仿宋" w:eastAsia="仿宋" w:cstheme="majorBidi"/>
          <w:bCs/>
          <w:sz w:val="28"/>
          <w:szCs w:val="28"/>
        </w:rPr>
        <w:t>般公共预算财政拨款支出决算情况说明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_Toc15396607 \h </w:instrText>
      </w:r>
      <w:r>
        <w:rPr>
          <w:rFonts w:ascii="仿宋" w:hAnsi="仿宋" w:eastAsia="仿宋"/>
          <w:sz w:val="28"/>
          <w:szCs w:val="28"/>
        </w:rPr>
        <w:fldChar w:fldCharType="separate"/>
      </w:r>
      <w:r>
        <w:rPr>
          <w:rFonts w:ascii="仿宋" w:hAnsi="仿宋" w:eastAsia="仿宋"/>
          <w:sz w:val="28"/>
          <w:szCs w:val="28"/>
        </w:rPr>
        <w:t>10</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"_Toc15396608" </w:instrText>
      </w:r>
      <w:r>
        <w:fldChar w:fldCharType="separate"/>
      </w:r>
      <w:r>
        <w:rPr>
          <w:rStyle w:val="14"/>
          <w:rFonts w:hint="eastAsia" w:ascii="仿宋" w:hAnsi="仿宋" w:eastAsia="仿宋"/>
          <w:sz w:val="28"/>
          <w:szCs w:val="28"/>
        </w:rPr>
        <w:t>六、一</w:t>
      </w:r>
      <w:r>
        <w:rPr>
          <w:rStyle w:val="14"/>
          <w:rFonts w:hint="eastAsia" w:ascii="仿宋" w:hAnsi="仿宋" w:eastAsia="仿宋" w:cstheme="majorBidi"/>
          <w:bCs/>
          <w:sz w:val="28"/>
          <w:szCs w:val="28"/>
        </w:rPr>
        <w:t>般公共预算财政拨款基本支出决算情况说明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_Toc15396608 \h </w:instrText>
      </w:r>
      <w:r>
        <w:rPr>
          <w:rFonts w:ascii="仿宋" w:hAnsi="仿宋" w:eastAsia="仿宋"/>
          <w:sz w:val="28"/>
          <w:szCs w:val="28"/>
        </w:rPr>
        <w:fldChar w:fldCharType="separate"/>
      </w:r>
      <w:r>
        <w:rPr>
          <w:rFonts w:ascii="仿宋" w:hAnsi="仿宋" w:eastAsia="仿宋"/>
          <w:sz w:val="28"/>
          <w:szCs w:val="28"/>
        </w:rPr>
        <w:t>13</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"_Toc15396609" </w:instrText>
      </w:r>
      <w:r>
        <w:fldChar w:fldCharType="separate"/>
      </w:r>
      <w:r>
        <w:rPr>
          <w:rStyle w:val="14"/>
          <w:rFonts w:hint="eastAsia" w:ascii="仿宋" w:hAnsi="仿宋" w:eastAsia="仿宋"/>
          <w:sz w:val="28"/>
          <w:szCs w:val="28"/>
        </w:rPr>
        <w:t>七、</w:t>
      </w:r>
      <w:r>
        <w:rPr>
          <w:rStyle w:val="14"/>
          <w:rFonts w:ascii="仿宋" w:hAnsi="仿宋" w:eastAsia="仿宋"/>
          <w:sz w:val="28"/>
          <w:szCs w:val="28"/>
        </w:rPr>
        <w:t>“</w:t>
      </w:r>
      <w:r>
        <w:rPr>
          <w:rStyle w:val="14"/>
          <w:rFonts w:hint="eastAsia" w:ascii="仿宋" w:hAnsi="仿宋" w:eastAsia="仿宋" w:cstheme="majorBidi"/>
          <w:bCs/>
          <w:sz w:val="28"/>
          <w:szCs w:val="28"/>
        </w:rPr>
        <w:t>三公”经费财政拨款支出决算情况说明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_Toc15396609 \h </w:instrText>
      </w:r>
      <w:r>
        <w:rPr>
          <w:rFonts w:ascii="仿宋" w:hAnsi="仿宋" w:eastAsia="仿宋"/>
          <w:sz w:val="28"/>
          <w:szCs w:val="28"/>
        </w:rPr>
        <w:fldChar w:fldCharType="separate"/>
      </w:r>
      <w:r>
        <w:rPr>
          <w:rFonts w:ascii="仿宋" w:hAnsi="仿宋" w:eastAsia="仿宋"/>
          <w:sz w:val="28"/>
          <w:szCs w:val="28"/>
        </w:rPr>
        <w:t>14</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"_Toc15396610" </w:instrText>
      </w:r>
      <w:r>
        <w:fldChar w:fldCharType="separate"/>
      </w:r>
      <w:r>
        <w:rPr>
          <w:rStyle w:val="14"/>
          <w:rFonts w:hint="eastAsia" w:ascii="仿宋" w:hAnsi="仿宋" w:eastAsia="仿宋"/>
          <w:sz w:val="28"/>
          <w:szCs w:val="28"/>
        </w:rPr>
        <w:t>八、</w:t>
      </w:r>
      <w:r>
        <w:rPr>
          <w:rStyle w:val="14"/>
          <w:rFonts w:hint="eastAsia" w:ascii="仿宋" w:hAnsi="仿宋" w:eastAsia="仿宋" w:cstheme="majorBidi"/>
          <w:bCs/>
          <w:sz w:val="28"/>
          <w:szCs w:val="28"/>
        </w:rPr>
        <w:t>政府性基金预算支出决算情况说明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_Toc15396610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"_Toc15396611" </w:instrText>
      </w:r>
      <w:r>
        <w:fldChar w:fldCharType="separate"/>
      </w:r>
      <w:r>
        <w:rPr>
          <w:rStyle w:val="14"/>
          <w:rFonts w:hint="eastAsia" w:ascii="仿宋" w:hAnsi="仿宋" w:eastAsia="仿宋" w:cstheme="majorBidi"/>
          <w:bCs/>
          <w:sz w:val="28"/>
          <w:szCs w:val="28"/>
        </w:rPr>
        <w:t>九、</w:t>
      </w:r>
      <w:r>
        <w:rPr>
          <w:rStyle w:val="14"/>
          <w:rFonts w:hint="eastAsia" w:ascii="仿宋" w:hAnsi="仿宋" w:eastAsia="仿宋"/>
          <w:sz w:val="28"/>
          <w:szCs w:val="28"/>
        </w:rPr>
        <w:t xml:space="preserve"> 国</w:t>
      </w:r>
      <w:r>
        <w:rPr>
          <w:rStyle w:val="14"/>
          <w:rFonts w:hint="eastAsia" w:ascii="仿宋" w:hAnsi="仿宋" w:eastAsia="仿宋" w:cstheme="majorBidi"/>
          <w:bCs/>
          <w:sz w:val="28"/>
          <w:szCs w:val="28"/>
        </w:rPr>
        <w:t>有资本经营预算支出决算情况说明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_Toc15396611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fldChar w:fldCharType="begin"/>
      </w:r>
      <w:r>
        <w:instrText xml:space="preserve"> HYPERLINK \l "_Toc15396612" </w:instrText>
      </w:r>
      <w:r>
        <w:fldChar w:fldCharType="separate"/>
      </w:r>
      <w:r>
        <w:rPr>
          <w:rStyle w:val="14"/>
          <w:rFonts w:hint="eastAsia" w:ascii="仿宋" w:hAnsi="仿宋" w:eastAsia="仿宋"/>
          <w:sz w:val="28"/>
          <w:szCs w:val="28"/>
        </w:rPr>
        <w:t>十</w:t>
      </w:r>
      <w:r>
        <w:rPr>
          <w:rStyle w:val="14"/>
          <w:rFonts w:hint="eastAsia" w:ascii="仿宋" w:hAnsi="仿宋" w:eastAsia="仿宋" w:cstheme="majorBidi"/>
          <w:bCs/>
          <w:sz w:val="28"/>
          <w:szCs w:val="28"/>
        </w:rPr>
        <w:t>一、其他重要事项的情况说明</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_Toc15396612 \h </w:instrText>
      </w:r>
      <w:r>
        <w:rPr>
          <w:rFonts w:ascii="仿宋" w:hAnsi="仿宋" w:eastAsia="仿宋"/>
          <w:sz w:val="28"/>
          <w:szCs w:val="28"/>
        </w:rPr>
        <w:fldChar w:fldCharType="separate"/>
      </w:r>
      <w:r>
        <w:rPr>
          <w:rFonts w:ascii="仿宋" w:hAnsi="仿宋" w:eastAsia="仿宋"/>
          <w:sz w:val="28"/>
          <w:szCs w:val="28"/>
        </w:rPr>
        <w:t>15</w:t>
      </w:r>
      <w:r>
        <w:rPr>
          <w:rFonts w:ascii="仿宋" w:hAnsi="仿宋" w:eastAsia="仿宋"/>
          <w:sz w:val="28"/>
          <w:szCs w:val="28"/>
        </w:rPr>
        <w:fldChar w:fldCharType="end"/>
      </w:r>
      <w:r>
        <w:rPr>
          <w:rFonts w:ascii="仿宋" w:hAnsi="仿宋" w:eastAsia="仿宋"/>
          <w:sz w:val="28"/>
          <w:szCs w:val="28"/>
        </w:rPr>
        <w:fldChar w:fldCharType="end"/>
      </w:r>
    </w:p>
    <w:p>
      <w:pPr>
        <w:pStyle w:val="10"/>
        <w:rPr>
          <w:rFonts w:cstheme="minorBidi"/>
        </w:rPr>
      </w:pPr>
      <w:r>
        <w:fldChar w:fldCharType="begin"/>
      </w:r>
      <w:r>
        <w:instrText xml:space="preserve"> HYPERLINK \l "_Toc15396613" </w:instrText>
      </w:r>
      <w:r>
        <w:fldChar w:fldCharType="separate"/>
      </w:r>
      <w:r>
        <w:rPr>
          <w:rStyle w:val="14"/>
          <w:rFonts w:hint="eastAsia"/>
          <w:bCs/>
          <w:kern w:val="44"/>
        </w:rPr>
        <w:t>第三部分</w:t>
      </w:r>
      <w:r>
        <w:rPr>
          <w:rStyle w:val="14"/>
          <w:rFonts w:hint="eastAsia"/>
        </w:rPr>
        <w:t xml:space="preserve"> 名</w:t>
      </w:r>
      <w:r>
        <w:rPr>
          <w:rStyle w:val="14"/>
          <w:rFonts w:hint="eastAsia"/>
          <w:bCs/>
          <w:kern w:val="44"/>
        </w:rPr>
        <w:t>词解释</w:t>
      </w:r>
      <w:r>
        <w:tab/>
      </w:r>
      <w:r>
        <w:fldChar w:fldCharType="begin"/>
      </w:r>
      <w:r>
        <w:instrText xml:space="preserve"> PAGEREF _Toc15396613 \h </w:instrText>
      </w:r>
      <w:r>
        <w:fldChar w:fldCharType="separate"/>
      </w:r>
      <w:r>
        <w:t>16</w:t>
      </w:r>
      <w:r>
        <w:fldChar w:fldCharType="end"/>
      </w:r>
      <w:r>
        <w:fldChar w:fldCharType="end"/>
      </w:r>
    </w:p>
    <w:p>
      <w:pPr>
        <w:pStyle w:val="10"/>
        <w:rPr>
          <w:rFonts w:cstheme="minorBidi"/>
        </w:rPr>
      </w:pPr>
      <w:r>
        <w:fldChar w:fldCharType="begin"/>
      </w:r>
      <w:r>
        <w:instrText xml:space="preserve"> HYPERLINK \l "_Toc15396614" </w:instrText>
      </w:r>
      <w:r>
        <w:fldChar w:fldCharType="separate"/>
      </w:r>
      <w:r>
        <w:rPr>
          <w:rStyle w:val="14"/>
          <w:rFonts w:hint="eastAsia"/>
        </w:rPr>
        <w:t>第</w:t>
      </w:r>
      <w:r>
        <w:rPr>
          <w:rStyle w:val="14"/>
          <w:rFonts w:hint="eastAsia"/>
          <w:bCs/>
          <w:kern w:val="44"/>
        </w:rPr>
        <w:t>四部分</w:t>
      </w:r>
      <w:r>
        <w:rPr>
          <w:rStyle w:val="14"/>
          <w:bCs/>
          <w:kern w:val="44"/>
        </w:rPr>
        <w:t xml:space="preserve"> </w:t>
      </w:r>
      <w:r>
        <w:rPr>
          <w:rStyle w:val="14"/>
          <w:rFonts w:hint="eastAsia"/>
          <w:bCs/>
          <w:kern w:val="44"/>
        </w:rPr>
        <w:t>附件</w:t>
      </w:r>
      <w:r>
        <w:tab/>
      </w:r>
      <w:r>
        <w:fldChar w:fldCharType="begin"/>
      </w:r>
      <w:r>
        <w:instrText xml:space="preserve"> PAGEREF _Toc15396614 \h </w:instrText>
      </w:r>
      <w:r>
        <w:fldChar w:fldCharType="separate"/>
      </w:r>
      <w:r>
        <w:t>18</w:t>
      </w:r>
      <w:r>
        <w:fldChar w:fldCharType="end"/>
      </w:r>
      <w:r>
        <w:fldChar w:fldCharType="end"/>
      </w:r>
    </w:p>
    <w:p>
      <w:pPr>
        <w:pStyle w:val="10"/>
        <w:rPr>
          <w:rFonts w:cstheme="minorBidi"/>
        </w:rPr>
      </w:pPr>
      <w:bookmarkStart w:id="73" w:name="_GoBack"/>
      <w:bookmarkEnd w:id="73"/>
      <w:r>
        <w:fldChar w:fldCharType="begin"/>
      </w:r>
      <w:r>
        <w:instrText xml:space="preserve"> HYPERLINK \l "_Toc15396618" </w:instrText>
      </w:r>
      <w:r>
        <w:fldChar w:fldCharType="separate"/>
      </w:r>
      <w:r>
        <w:rPr>
          <w:rStyle w:val="14"/>
          <w:rFonts w:hint="eastAsia"/>
        </w:rPr>
        <w:t>第</w:t>
      </w:r>
      <w:r>
        <w:rPr>
          <w:rStyle w:val="14"/>
          <w:rFonts w:hint="eastAsia"/>
          <w:bCs/>
          <w:kern w:val="44"/>
        </w:rPr>
        <w:t>五部分</w:t>
      </w:r>
      <w:r>
        <w:rPr>
          <w:rStyle w:val="14"/>
          <w:bCs/>
          <w:kern w:val="44"/>
        </w:rPr>
        <w:t xml:space="preserve"> </w:t>
      </w:r>
      <w:r>
        <w:rPr>
          <w:rStyle w:val="14"/>
          <w:rFonts w:hint="eastAsia"/>
          <w:bCs/>
          <w:kern w:val="44"/>
        </w:rPr>
        <w:t>附表</w:t>
      </w:r>
      <w:r>
        <w:tab/>
      </w:r>
      <w:r>
        <w:fldChar w:fldCharType="begin"/>
      </w:r>
      <w:r>
        <w:instrText xml:space="preserve"> PAGEREF _Toc15396618 \h </w:instrText>
      </w:r>
      <w:r>
        <w:fldChar w:fldCharType="separate"/>
      </w:r>
      <w:r>
        <w:t>19</w:t>
      </w:r>
      <w:r>
        <w:fldChar w:fldCharType="end"/>
      </w:r>
      <w:r>
        <w:fldChar w:fldCharType="end"/>
      </w:r>
    </w:p>
    <w:p>
      <w:pPr>
        <w:pStyle w:val="11"/>
        <w:rPr>
          <w:rFonts w:ascii="仿宋" w:hAnsi="仿宋" w:eastAsia="仿宋" w:cstheme="minorBidi"/>
          <w:sz w:val="28"/>
          <w:szCs w:val="28"/>
        </w:rPr>
      </w:pPr>
      <w:r>
        <w:rPr>
          <w:rFonts w:hint="eastAsia" w:ascii="仿宋" w:hAnsi="仿宋" w:eastAsia="仿宋"/>
          <w:sz w:val="28"/>
          <w:szCs w:val="28"/>
        </w:rPr>
        <w:t>一、</w:t>
      </w:r>
      <w:r>
        <w:fldChar w:fldCharType="begin"/>
      </w:r>
      <w:r>
        <w:instrText xml:space="preserve"> HYPERLINK \l "_Toc15396619" </w:instrText>
      </w:r>
      <w:r>
        <w:fldChar w:fldCharType="separate"/>
      </w:r>
      <w:r>
        <w:rPr>
          <w:rStyle w:val="14"/>
          <w:rFonts w:hint="eastAsia" w:ascii="仿宋" w:hAnsi="仿宋" w:eastAsia="仿宋"/>
          <w:sz w:val="28"/>
          <w:szCs w:val="28"/>
        </w:rPr>
        <w:t>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_Toc15396619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二、</w:t>
      </w:r>
      <w:r>
        <w:fldChar w:fldCharType="begin"/>
      </w:r>
      <w:r>
        <w:instrText xml:space="preserve"> HYPERLINK \l "_Toc15396620" </w:instrText>
      </w:r>
      <w:r>
        <w:fldChar w:fldCharType="separate"/>
      </w:r>
      <w:r>
        <w:rPr>
          <w:rStyle w:val="14"/>
          <w:rFonts w:hint="eastAsia" w:ascii="仿宋" w:hAnsi="仿宋" w:eastAsia="仿宋"/>
          <w:sz w:val="28"/>
          <w:szCs w:val="28"/>
        </w:rPr>
        <w:t>收入总表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_Toc15396620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三、</w:t>
      </w:r>
      <w:r>
        <w:fldChar w:fldCharType="begin"/>
      </w:r>
      <w:r>
        <w:instrText xml:space="preserve"> HYPERLINK \l "_Toc15396621" </w:instrText>
      </w:r>
      <w:r>
        <w:fldChar w:fldCharType="separate"/>
      </w:r>
      <w:r>
        <w:rPr>
          <w:rStyle w:val="14"/>
          <w:rFonts w:hint="eastAsia" w:ascii="仿宋" w:hAnsi="仿宋" w:eastAsia="仿宋"/>
          <w:sz w:val="28"/>
          <w:szCs w:val="28"/>
        </w:rPr>
        <w:t>支出总表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_Toc15396621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四、</w:t>
      </w:r>
      <w:r>
        <w:fldChar w:fldCharType="begin"/>
      </w:r>
      <w:r>
        <w:instrText xml:space="preserve"> HYPERLINK \l "_Toc15396622" </w:instrText>
      </w:r>
      <w:r>
        <w:fldChar w:fldCharType="separate"/>
      </w:r>
      <w:r>
        <w:rPr>
          <w:rStyle w:val="14"/>
          <w:rFonts w:hint="eastAsia" w:ascii="仿宋" w:hAnsi="仿宋" w:eastAsia="仿宋"/>
          <w:sz w:val="28"/>
          <w:szCs w:val="28"/>
        </w:rPr>
        <w:t>财政拨款收入支出决算总表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_Toc15396622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sz w:val="28"/>
          <w:szCs w:val="28"/>
        </w:rPr>
      </w:pPr>
      <w:r>
        <w:rPr>
          <w:rFonts w:hint="eastAsia" w:ascii="仿宋" w:hAnsi="仿宋" w:eastAsia="仿宋"/>
          <w:sz w:val="28"/>
          <w:szCs w:val="28"/>
        </w:rPr>
        <w:t>五、</w:t>
      </w:r>
      <w:r>
        <w:fldChar w:fldCharType="begin"/>
      </w:r>
      <w:r>
        <w:instrText xml:space="preserve"> HYPERLINK \l "_Toc15396623" </w:instrText>
      </w:r>
      <w:r>
        <w:fldChar w:fldCharType="separate"/>
      </w:r>
      <w:r>
        <w:rPr>
          <w:rFonts w:hint="eastAsia" w:ascii="仿宋" w:hAnsi="仿宋" w:eastAsia="仿宋"/>
          <w:sz w:val="28"/>
          <w:szCs w:val="28"/>
        </w:rPr>
        <w:t>财政拨款支出决算明细表（政府经济分类科目）</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_Toc15396623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六、</w:t>
      </w:r>
      <w:r>
        <w:fldChar w:fldCharType="begin"/>
      </w:r>
      <w:r>
        <w:instrText xml:space="preserve"> HYPERLINK \l "_Toc15396624" </w:instrText>
      </w:r>
      <w:r>
        <w:fldChar w:fldCharType="separate"/>
      </w:r>
      <w:r>
        <w:rPr>
          <w:rStyle w:val="14"/>
          <w:rFonts w:hint="eastAsia" w:ascii="仿宋" w:hAnsi="仿宋" w:eastAsia="仿宋"/>
          <w:sz w:val="28"/>
          <w:szCs w:val="28"/>
        </w:rPr>
        <w:t>一般公共预算财政拨款支出决算表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_Toc15396624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七、</w:t>
      </w:r>
      <w:r>
        <w:fldChar w:fldCharType="begin"/>
      </w:r>
      <w:r>
        <w:instrText xml:space="preserve"> HYPERLINK \l "_Toc15396625" </w:instrText>
      </w:r>
      <w:r>
        <w:fldChar w:fldCharType="separate"/>
      </w:r>
      <w:r>
        <w:rPr>
          <w:rStyle w:val="14"/>
          <w:rFonts w:hint="eastAsia" w:ascii="仿宋" w:hAnsi="仿宋" w:eastAsia="仿宋"/>
          <w:sz w:val="28"/>
          <w:szCs w:val="28"/>
        </w:rPr>
        <w:t>一般公共预算财政拨款支出决算明细表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_Toc15396625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八、</w:t>
      </w:r>
      <w:r>
        <w:fldChar w:fldCharType="begin"/>
      </w:r>
      <w:r>
        <w:instrText xml:space="preserve"> HYPERLINK \l "_Toc15396626" </w:instrText>
      </w:r>
      <w:r>
        <w:fldChar w:fldCharType="separate"/>
      </w:r>
      <w:r>
        <w:rPr>
          <w:rStyle w:val="14"/>
          <w:rFonts w:hint="eastAsia" w:ascii="仿宋" w:hAnsi="仿宋" w:eastAsia="仿宋"/>
          <w:sz w:val="28"/>
          <w:szCs w:val="28"/>
        </w:rPr>
        <w:t>一般公共预算财政拨款基本支出决算表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_Toc15396626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九、</w:t>
      </w:r>
      <w:r>
        <w:fldChar w:fldCharType="begin"/>
      </w:r>
      <w:r>
        <w:instrText xml:space="preserve"> HYPERLINK \l "_Toc15396627" </w:instrText>
      </w:r>
      <w:r>
        <w:fldChar w:fldCharType="separate"/>
      </w:r>
      <w:r>
        <w:rPr>
          <w:rStyle w:val="14"/>
          <w:rFonts w:hint="eastAsia" w:ascii="仿宋" w:hAnsi="仿宋" w:eastAsia="仿宋"/>
          <w:sz w:val="28"/>
          <w:szCs w:val="28"/>
        </w:rPr>
        <w:t>一般公共预算财政拨款项目支出决算表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_Toc15396627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w:t>
      </w:r>
      <w:r>
        <w:fldChar w:fldCharType="begin"/>
      </w:r>
      <w:r>
        <w:instrText xml:space="preserve"> HYPERLINK \l "_Toc15396628" </w:instrText>
      </w:r>
      <w:r>
        <w:fldChar w:fldCharType="separate"/>
      </w:r>
      <w:r>
        <w:rPr>
          <w:rStyle w:val="14"/>
          <w:rFonts w:hint="eastAsia" w:ascii="仿宋" w:hAnsi="仿宋" w:eastAsia="仿宋"/>
          <w:sz w:val="28"/>
          <w:szCs w:val="28"/>
        </w:rPr>
        <w:t>一般公共预算财政拨款“三公”经费支出决算表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_Toc15396628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十一、</w:t>
      </w:r>
      <w:r>
        <w:fldChar w:fldCharType="begin"/>
      </w:r>
      <w:r>
        <w:instrText xml:space="preserve"> HYPERLINK \l "_Toc15396629" </w:instrText>
      </w:r>
      <w:r>
        <w:fldChar w:fldCharType="separate"/>
      </w:r>
      <w:r>
        <w:rPr>
          <w:rStyle w:val="14"/>
          <w:rFonts w:hint="eastAsia" w:ascii="仿宋" w:hAnsi="仿宋" w:eastAsia="仿宋"/>
          <w:sz w:val="28"/>
          <w:szCs w:val="28"/>
        </w:rPr>
        <w:t>政府性基金预算财政拨款收入支出决算表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_Toc15396629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8"/>
          <w:szCs w:val="28"/>
        </w:rPr>
      </w:pPr>
      <w:r>
        <w:rPr>
          <w:rFonts w:hint="eastAsia" w:ascii="仿宋" w:hAnsi="仿宋" w:eastAsia="仿宋"/>
          <w:sz w:val="28"/>
          <w:szCs w:val="28"/>
        </w:rPr>
        <w:t>十二、</w:t>
      </w:r>
      <w:r>
        <w:fldChar w:fldCharType="begin"/>
      </w:r>
      <w:r>
        <w:instrText xml:space="preserve"> HYPERLINK \l "_Toc15396630" </w:instrText>
      </w:r>
      <w:r>
        <w:fldChar w:fldCharType="separate"/>
      </w:r>
      <w:r>
        <w:rPr>
          <w:rStyle w:val="14"/>
          <w:rFonts w:hint="eastAsia" w:ascii="仿宋" w:hAnsi="仿宋" w:eastAsia="仿宋"/>
          <w:sz w:val="28"/>
          <w:szCs w:val="28"/>
        </w:rPr>
        <w:t>政府性基金预算财政拨款“三公”经费支出决算表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_Toc15396630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pStyle w:val="11"/>
        <w:rPr>
          <w:rFonts w:ascii="仿宋" w:hAnsi="仿宋" w:eastAsia="仿宋" w:cstheme="minorBidi"/>
          <w:sz w:val="24"/>
        </w:rPr>
      </w:pPr>
      <w:r>
        <w:rPr>
          <w:rFonts w:hint="eastAsia" w:ascii="仿宋" w:hAnsi="仿宋" w:eastAsia="仿宋"/>
          <w:sz w:val="28"/>
          <w:szCs w:val="28"/>
        </w:rPr>
        <w:t>十三、</w:t>
      </w:r>
      <w:r>
        <w:fldChar w:fldCharType="begin"/>
      </w:r>
      <w:r>
        <w:instrText xml:space="preserve"> HYPERLINK \l "_Toc15396631" </w:instrText>
      </w:r>
      <w:r>
        <w:fldChar w:fldCharType="separate"/>
      </w:r>
      <w:r>
        <w:rPr>
          <w:rStyle w:val="14"/>
          <w:rFonts w:hint="eastAsia" w:ascii="仿宋" w:hAnsi="仿宋" w:eastAsia="仿宋"/>
          <w:sz w:val="28"/>
          <w:szCs w:val="28"/>
        </w:rPr>
        <w:t>国有资本经营预算支出决算表</w:t>
      </w:r>
      <w:r>
        <w:rPr>
          <w:rFonts w:ascii="仿宋" w:hAnsi="仿宋" w:eastAsia="仿宋"/>
          <w:sz w:val="28"/>
          <w:szCs w:val="28"/>
        </w:rPr>
        <w:tab/>
      </w:r>
      <w:r>
        <w:rPr>
          <w:rFonts w:ascii="仿宋" w:hAnsi="仿宋" w:eastAsia="仿宋"/>
          <w:sz w:val="28"/>
          <w:szCs w:val="28"/>
        </w:rPr>
        <w:fldChar w:fldCharType="begin"/>
      </w:r>
      <w:r>
        <w:rPr>
          <w:rFonts w:ascii="仿宋" w:hAnsi="仿宋" w:eastAsia="仿宋"/>
          <w:sz w:val="28"/>
          <w:szCs w:val="28"/>
        </w:rPr>
        <w:instrText xml:space="preserve"> PAGEREF _Toc15396631 \h </w:instrText>
      </w:r>
      <w:r>
        <w:rPr>
          <w:rFonts w:ascii="仿宋" w:hAnsi="仿宋" w:eastAsia="仿宋"/>
          <w:sz w:val="28"/>
          <w:szCs w:val="28"/>
        </w:rPr>
        <w:fldChar w:fldCharType="separate"/>
      </w:r>
      <w:r>
        <w:rPr>
          <w:rFonts w:ascii="仿宋" w:hAnsi="仿宋" w:eastAsia="仿宋"/>
          <w:sz w:val="28"/>
          <w:szCs w:val="28"/>
        </w:rPr>
        <w:t>19</w:t>
      </w:r>
      <w:r>
        <w:rPr>
          <w:rFonts w:ascii="仿宋" w:hAnsi="仿宋" w:eastAsia="仿宋"/>
          <w:sz w:val="28"/>
          <w:szCs w:val="28"/>
        </w:rPr>
        <w:fldChar w:fldCharType="end"/>
      </w:r>
      <w:r>
        <w:rPr>
          <w:rFonts w:ascii="仿宋" w:hAnsi="仿宋" w:eastAsia="仿宋"/>
          <w:sz w:val="28"/>
          <w:szCs w:val="28"/>
        </w:rPr>
        <w:fldChar w:fldCharType="end"/>
      </w:r>
    </w:p>
    <w:p>
      <w:pPr>
        <w:widowControl/>
        <w:jc w:val="left"/>
        <w:rPr>
          <w:rFonts w:ascii="仿宋" w:hAnsi="仿宋" w:eastAsia="仿宋"/>
          <w:color w:val="000000"/>
          <w:sz w:val="24"/>
        </w:rPr>
      </w:pPr>
      <w:r>
        <w:rPr>
          <w:rFonts w:ascii="仿宋" w:hAnsi="仿宋" w:eastAsia="仿宋"/>
          <w:color w:val="000000"/>
          <w:sz w:val="24"/>
        </w:rPr>
        <w:fldChar w:fldCharType="end"/>
      </w:r>
    </w:p>
    <w:p>
      <w:pPr>
        <w:widowControl/>
        <w:jc w:val="left"/>
        <w:rPr>
          <w:rFonts w:ascii="黑体" w:hAnsi="黑体" w:eastAsia="黑体"/>
          <w:bCs/>
          <w:kern w:val="44"/>
          <w:sz w:val="44"/>
          <w:szCs w:val="44"/>
        </w:rPr>
      </w:pPr>
      <w:bookmarkStart w:id="12" w:name="_Toc15396599"/>
      <w:bookmarkStart w:id="13" w:name="_Toc15377196"/>
      <w:r>
        <w:rPr>
          <w:rFonts w:ascii="黑体" w:hAnsi="黑体" w:eastAsia="黑体"/>
          <w:b/>
        </w:rPr>
        <w:br w:type="page"/>
      </w:r>
    </w:p>
    <w:p>
      <w:pPr>
        <w:pStyle w:val="2"/>
        <w:jc w:val="center"/>
        <w:rPr>
          <w:rStyle w:val="24"/>
          <w:rFonts w:ascii="黑体" w:hAnsi="黑体" w:eastAsia="黑体"/>
          <w:b/>
          <w:bCs w:val="0"/>
        </w:rPr>
      </w:pPr>
      <w:r>
        <w:rPr>
          <w:rFonts w:hint="eastAsia" w:ascii="黑体" w:hAnsi="黑体" w:eastAsia="黑体"/>
          <w:b w:val="0"/>
        </w:rPr>
        <w:t xml:space="preserve">第一部分 </w:t>
      </w:r>
      <w:r>
        <w:rPr>
          <w:rStyle w:val="24"/>
          <w:rFonts w:hint="eastAsia" w:ascii="黑体" w:hAnsi="黑体" w:eastAsia="黑体"/>
          <w:b w:val="0"/>
          <w:bCs w:val="0"/>
        </w:rPr>
        <w:t>部门概况</w:t>
      </w:r>
      <w:bookmarkEnd w:id="12"/>
      <w:bookmarkEnd w:id="13"/>
    </w:p>
    <w:p>
      <w:pPr>
        <w:widowControl/>
        <w:jc w:val="left"/>
        <w:rPr>
          <w:rFonts w:ascii="黑体" w:eastAsia="黑体"/>
          <w:color w:val="000000"/>
          <w:sz w:val="32"/>
          <w:szCs w:val="32"/>
        </w:rPr>
      </w:pPr>
    </w:p>
    <w:p>
      <w:pPr>
        <w:pStyle w:val="3"/>
        <w:rPr>
          <w:rStyle w:val="25"/>
          <w:rFonts w:ascii="仿宋" w:hAnsi="仿宋" w:eastAsia="仿宋"/>
          <w:b w:val="0"/>
          <w:bCs w:val="0"/>
        </w:rPr>
      </w:pPr>
      <w:bookmarkStart w:id="14" w:name="_Toc15377197"/>
      <w:bookmarkStart w:id="15" w:name="_Toc15396600"/>
      <w:r>
        <w:rPr>
          <w:rFonts w:hint="eastAsia" w:ascii="黑体" w:hAnsi="黑体" w:eastAsia="黑体"/>
          <w:b w:val="0"/>
          <w:color w:val="000000"/>
        </w:rPr>
        <w:t>一、基</w:t>
      </w:r>
      <w:r>
        <w:rPr>
          <w:rStyle w:val="25"/>
          <w:rFonts w:hint="eastAsia" w:ascii="黑体" w:hAnsi="黑体" w:eastAsia="黑体"/>
          <w:b w:val="0"/>
          <w:bCs w:val="0"/>
        </w:rPr>
        <w:t>本职能及主要工作</w:t>
      </w:r>
      <w:bookmarkEnd w:id="14"/>
      <w:bookmarkEnd w:id="15"/>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bookmarkStart w:id="16" w:name="_Toc15377198"/>
      <w:bookmarkStart w:id="17" w:name="_Toc15378445"/>
      <w:r>
        <w:rPr>
          <w:rFonts w:hint="eastAsia" w:ascii="仿宋" w:hAnsi="仿宋" w:eastAsia="仿宋"/>
          <w:bCs/>
          <w:color w:val="000000"/>
          <w:sz w:val="32"/>
          <w:szCs w:val="32"/>
        </w:rPr>
        <w:t>（一）主要职能。</w:t>
      </w:r>
      <w:bookmarkEnd w:id="16"/>
      <w:bookmarkEnd w:id="17"/>
      <w:bookmarkStart w:id="18" w:name="_Toc15377199"/>
      <w:bookmarkStart w:id="19" w:name="_Toc15378446"/>
      <w:r>
        <w:rPr>
          <w:rFonts w:hint="eastAsia" w:ascii="仿宋" w:hAnsi="仿宋" w:eastAsia="仿宋"/>
          <w:bCs/>
          <w:color w:val="000000"/>
          <w:sz w:val="32"/>
          <w:szCs w:val="32"/>
        </w:rPr>
        <w:t>1、贯彻执行国家有关国土资源的调控政策、措施和法律、法规，承担保护与合理利用土地资源、矿产资源及地质灾害防治的责任。2、承担规范国土资源管理秩序的责任。3、承担优化配置国土资源的责任。4、负责规范国土资源权属管理。5、承担全州耕地保护的责任，确保规划确定的耕地保有量和基本农田面积不减少。6、承担及时准确提供全州土地利用各种数据的责任。7、承担节约集约利用土地资源的责任。8、承担规范国土资源市场秩序的责任。9、负责矿产资源开发的管理，依法管理矿业权的审批登记发证和转让审批登记。10、负责地质勘查行业和矿产资源储量管理。11、承担地质环境保护和地质灾害防治的责任，组织、协调、指导和监督地质灾害防治工作。12、依法征收土地、矿产资源收益，规范、监督资金使用，拟订土地、矿产资源参与经济调控的政策措施。13、推进国土资源科技进步，组织开展对外合作与交流。14、负责管理县级国土资源主管部门领导班子成员和科级干部。负责县级国土资源主管部门领导班子和系统的党风廉政建设、行业作风建设。15、承担州政府公布的有关行政审批事项。16、承办州政府交办的其他事项。</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（二）</w:t>
      </w:r>
      <w:r>
        <w:rPr>
          <w:rFonts w:ascii="仿宋" w:hAnsi="仿宋" w:eastAsia="仿宋"/>
          <w:bCs/>
          <w:color w:val="000000"/>
          <w:sz w:val="32"/>
          <w:szCs w:val="32"/>
        </w:rPr>
        <w:t>201</w:t>
      </w:r>
      <w:r>
        <w:rPr>
          <w:rFonts w:hint="eastAsia" w:ascii="仿宋" w:hAnsi="仿宋" w:eastAsia="仿宋"/>
          <w:bCs/>
          <w:color w:val="000000"/>
          <w:sz w:val="32"/>
          <w:szCs w:val="32"/>
        </w:rPr>
        <w:t>8年重点工作完成情况。</w:t>
      </w:r>
      <w:bookmarkEnd w:id="18"/>
      <w:bookmarkEnd w:id="19"/>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（1）全力以赴打赢地灾防治攻坚战</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一是安排部署“早”，隐患排查“广”。二是宣传演练“全”，预警预报“准”。三是工程治理“实”，灾后重建“快”。</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（2）高效保障“项目年”建设用地需求</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一是综合施策，严守耕地保护“红线”。二是精准供给，有力保障经济稳步增长。三是开源节流，土地供应管理全面提升。</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（3）加快推进矿产资源绿色发展</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一是全力开展矿业权整改退出工作。二是全力打造“百亿锂产业”。三是积极推进矿业权出让收益市场基准价编制工作。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（4）用好政策高效助推脱贫攻坚</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一是把握政策机遇。二是狠抓政策落实。三是强化项目支持。四是突出驻村帮扶。</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（5）不断夯实基础管理工作</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不动产统一登记工作推进有序。执法监察动态巡查全面覆盖。认真解决了信访重访事项。地籍管理基础工作更加规范。</w:t>
      </w:r>
    </w:p>
    <w:p>
      <w:pPr>
        <w:pStyle w:val="5"/>
        <w:adjustRightInd w:val="0"/>
        <w:snapToGrid w:val="0"/>
        <w:spacing w:before="93" w:line="600" w:lineRule="exact"/>
        <w:ind w:firstLine="672" w:firstLineChars="210"/>
        <w:outlineLvl w:val="2"/>
        <w:rPr>
          <w:rFonts w:hint="eastAsia" w:ascii="仿宋" w:hAnsi="仿宋" w:eastAsia="仿宋"/>
          <w:bCs/>
          <w:color w:val="000000"/>
          <w:sz w:val="32"/>
          <w:szCs w:val="32"/>
        </w:rPr>
      </w:pPr>
      <w:r>
        <w:rPr>
          <w:rFonts w:hint="eastAsia" w:ascii="仿宋" w:hAnsi="仿宋" w:eastAsia="仿宋"/>
          <w:bCs/>
          <w:color w:val="000000"/>
          <w:sz w:val="32"/>
          <w:szCs w:val="32"/>
        </w:rPr>
        <w:t>（6）不断强化自身建设工作</w:t>
      </w:r>
    </w:p>
    <w:p>
      <w:pPr>
        <w:pStyle w:val="3"/>
        <w:rPr>
          <w:rStyle w:val="25"/>
          <w:b w:val="0"/>
          <w:bCs w:val="0"/>
        </w:rPr>
      </w:pPr>
      <w:bookmarkStart w:id="20" w:name="_Toc15396601"/>
      <w:bookmarkStart w:id="21" w:name="_Toc15377200"/>
      <w:r>
        <w:rPr>
          <w:rFonts w:hint="eastAsia" w:ascii="黑体" w:eastAsia="黑体"/>
          <w:b w:val="0"/>
          <w:color w:val="000000"/>
        </w:rPr>
        <w:t>二、</w:t>
      </w:r>
      <w:r>
        <w:rPr>
          <w:rFonts w:hint="eastAsia" w:ascii="黑体" w:hAnsi="黑体" w:eastAsia="黑体"/>
          <w:b w:val="0"/>
          <w:color w:val="000000"/>
        </w:rPr>
        <w:t>机</w:t>
      </w:r>
      <w:r>
        <w:rPr>
          <w:rStyle w:val="25"/>
          <w:rFonts w:hint="eastAsia" w:ascii="黑体" w:hAnsi="黑体" w:eastAsia="黑体"/>
          <w:b w:val="0"/>
          <w:bCs w:val="0"/>
        </w:rPr>
        <w:t>构设置</w:t>
      </w:r>
      <w:bookmarkEnd w:id="20"/>
      <w:bookmarkEnd w:id="21"/>
    </w:p>
    <w:p>
      <w:pPr>
        <w:ind w:firstLine="800" w:firstLineChars="250"/>
        <w:rPr>
          <w:rFonts w:ascii="仿宋" w:hAnsi="仿宋" w:eastAsia="仿宋"/>
          <w:color w:val="000000"/>
          <w:kern w:val="0"/>
          <w:sz w:val="32"/>
          <w:szCs w:val="32"/>
        </w:rPr>
      </w:pPr>
      <w:r>
        <w:rPr>
          <w:rFonts w:hint="eastAsia" w:ascii="仿宋" w:hAnsi="仿宋" w:eastAsia="仿宋"/>
          <w:sz w:val="32"/>
          <w:szCs w:val="32"/>
        </w:rPr>
        <w:t>阿坝州地质环境监测站和阿坝州不动产登记中心直属二级预算单位3个，其中参照公务员法管理的事业单位1个（执法支队），其他事业单位2个（州地质环境监测站和州不动产登记中心）。局机关事业编制20名，年末实有人数15人。</w:t>
      </w:r>
    </w:p>
    <w:p>
      <w:pPr>
        <w:pStyle w:val="2"/>
        <w:ind w:right="440"/>
        <w:jc w:val="right"/>
        <w:rPr>
          <w:rStyle w:val="24"/>
          <w:rFonts w:ascii="黑体" w:hAnsi="黑体" w:eastAsia="黑体"/>
          <w:b w:val="0"/>
          <w:bCs w:val="0"/>
        </w:rPr>
      </w:pPr>
      <w:bookmarkStart w:id="22" w:name="_Toc15396602"/>
      <w:bookmarkStart w:id="23" w:name="_Toc15377204"/>
      <w:r>
        <w:rPr>
          <w:rFonts w:hint="eastAsia" w:ascii="黑体" w:hAnsi="黑体" w:eastAsia="黑体"/>
          <w:b w:val="0"/>
          <w:color w:val="000000"/>
        </w:rPr>
        <w:t>第二部分</w:t>
      </w:r>
      <w:r>
        <w:rPr>
          <w:rFonts w:hint="eastAsia" w:ascii="黑体" w:hAnsi="黑体" w:eastAsia="黑体"/>
          <w:color w:val="000000"/>
        </w:rPr>
        <w:t xml:space="preserve"> </w:t>
      </w:r>
      <w:r>
        <w:rPr>
          <w:rStyle w:val="24"/>
          <w:rFonts w:hint="eastAsia" w:ascii="黑体" w:hAnsi="黑体" w:eastAsia="黑体"/>
          <w:b w:val="0"/>
          <w:bCs w:val="0"/>
        </w:rPr>
        <w:t>2018年度部门决算情况说明</w:t>
      </w:r>
      <w:bookmarkEnd w:id="22"/>
      <w:bookmarkEnd w:id="23"/>
    </w:p>
    <w:p/>
    <w:p>
      <w:pPr>
        <w:pStyle w:val="23"/>
        <w:numPr>
          <w:ilvl w:val="0"/>
          <w:numId w:val="1"/>
        </w:numPr>
        <w:spacing w:line="600" w:lineRule="exact"/>
        <w:ind w:firstLineChars="0"/>
        <w:outlineLvl w:val="1"/>
        <w:rPr>
          <w:rStyle w:val="25"/>
          <w:rFonts w:ascii="黑体" w:hAnsi="黑体" w:eastAsia="黑体"/>
          <w:b w:val="0"/>
        </w:rPr>
      </w:pPr>
      <w:bookmarkStart w:id="24" w:name="_Toc15377205"/>
      <w:bookmarkStart w:id="25" w:name="_Toc15396603"/>
      <w:r>
        <w:rPr>
          <w:rFonts w:hint="eastAsia" w:ascii="黑体" w:hAnsi="黑体" w:eastAsia="黑体"/>
          <w:color w:val="000000"/>
          <w:sz w:val="32"/>
          <w:szCs w:val="32"/>
        </w:rPr>
        <w:t>收</w:t>
      </w:r>
      <w:r>
        <w:rPr>
          <w:rStyle w:val="25"/>
          <w:rFonts w:hint="eastAsia" w:ascii="黑体" w:hAnsi="黑体" w:eastAsia="黑体"/>
          <w:b w:val="0"/>
        </w:rPr>
        <w:t>入支出决算总体情况说明</w:t>
      </w:r>
      <w:bookmarkEnd w:id="24"/>
      <w:bookmarkEnd w:id="25"/>
    </w:p>
    <w:p>
      <w:pPr>
        <w:spacing w:line="600" w:lineRule="exact"/>
        <w:ind w:firstLine="640" w:firstLineChars="200"/>
        <w:rPr>
          <w:rFonts w:hint="eastAsia" w:ascii="仿宋" w:hAnsi="仿宋" w:eastAsia="仿宋"/>
          <w:color w:val="000000"/>
          <w:sz w:val="32"/>
          <w:szCs w:val="32"/>
        </w:rPr>
      </w:pPr>
      <w:r>
        <w:rPr>
          <w:rFonts w:hint="eastAsia" w:ascii="仿宋" w:hAnsi="仿宋" w:eastAsia="仿宋"/>
          <w:color w:val="000000"/>
          <w:sz w:val="32"/>
          <w:szCs w:val="32"/>
        </w:rPr>
        <w:t>2018年度阿坝州地质环境监测站和阿坝州不动产登记中心收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w:t>
      </w:r>
      <w:r>
        <w:rPr>
          <w:rFonts w:hint="eastAsia" w:ascii="仿宋" w:hAnsi="仿宋" w:eastAsia="仿宋"/>
          <w:b/>
          <w:bCs/>
          <w:color w:val="000000"/>
          <w:sz w:val="32"/>
          <w:szCs w:val="32"/>
        </w:rPr>
        <w:t>263.13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lang w:val="en-US" w:eastAsia="zh-CN"/>
        </w:rPr>
        <w:t>总支出</w:t>
      </w:r>
      <w:r>
        <w:rPr>
          <w:rFonts w:hint="eastAsia" w:ascii="仿宋" w:hAnsi="仿宋" w:eastAsia="仿宋"/>
          <w:b/>
          <w:bCs/>
          <w:color w:val="000000"/>
          <w:sz w:val="32"/>
          <w:szCs w:val="32"/>
          <w:lang w:val="en-US" w:eastAsia="zh-CN"/>
        </w:rPr>
        <w:t>260.14</w:t>
      </w:r>
      <w:r>
        <w:rPr>
          <w:rFonts w:hint="eastAsia" w:ascii="仿宋" w:hAnsi="仿宋" w:eastAsia="仿宋"/>
          <w:color w:val="000000"/>
          <w:sz w:val="32"/>
          <w:szCs w:val="32"/>
          <w:lang w:val="en-US" w:eastAsia="zh-CN"/>
        </w:rPr>
        <w:t>万元</w:t>
      </w:r>
      <w:r>
        <w:rPr>
          <w:rFonts w:hint="eastAsia" w:ascii="仿宋" w:hAnsi="仿宋" w:eastAsia="仿宋"/>
          <w:color w:val="000000"/>
          <w:sz w:val="32"/>
          <w:szCs w:val="32"/>
        </w:rPr>
        <w:t>。与2017年相比，</w:t>
      </w:r>
      <w:r>
        <w:rPr>
          <w:rFonts w:hint="eastAsia" w:ascii="仿宋" w:hAnsi="仿宋" w:eastAsia="仿宋"/>
          <w:color w:val="000000"/>
          <w:sz w:val="32"/>
          <w:szCs w:val="32"/>
          <w:lang w:val="en-US" w:eastAsia="zh-CN"/>
        </w:rPr>
        <w:t>总收入</w:t>
      </w:r>
      <w:r>
        <w:rPr>
          <w:rFonts w:hint="eastAsia" w:ascii="仿宋" w:hAnsi="仿宋" w:eastAsia="仿宋"/>
          <w:color w:val="000000"/>
          <w:sz w:val="32"/>
          <w:szCs w:val="32"/>
        </w:rPr>
        <w:t>增加</w:t>
      </w:r>
      <w:r>
        <w:rPr>
          <w:rFonts w:hint="eastAsia" w:ascii="仿宋" w:hAnsi="仿宋" w:eastAsia="仿宋"/>
          <w:color w:val="000000"/>
          <w:sz w:val="32"/>
          <w:szCs w:val="32"/>
          <w:lang w:val="en-US" w:eastAsia="zh-CN"/>
        </w:rPr>
        <w:t>了</w:t>
      </w:r>
      <w:r>
        <w:rPr>
          <w:rFonts w:hint="eastAsia" w:ascii="仿宋" w:hAnsi="仿宋" w:eastAsia="仿宋"/>
          <w:b/>
          <w:bCs/>
          <w:color w:val="000000"/>
          <w:sz w:val="32"/>
          <w:szCs w:val="32"/>
        </w:rPr>
        <w:t>263.13</w:t>
      </w:r>
      <w:r>
        <w:rPr>
          <w:rFonts w:hint="eastAsia" w:ascii="仿宋" w:hAnsi="仿宋" w:eastAsia="仿宋"/>
          <w:color w:val="000000"/>
          <w:sz w:val="32"/>
          <w:szCs w:val="32"/>
        </w:rPr>
        <w:t>万元，增加</w:t>
      </w:r>
      <w:r>
        <w:rPr>
          <w:rFonts w:hint="eastAsia" w:ascii="仿宋" w:hAnsi="仿宋" w:eastAsia="仿宋"/>
          <w:b/>
          <w:bCs/>
          <w:color w:val="000000"/>
          <w:sz w:val="32"/>
          <w:szCs w:val="32"/>
        </w:rPr>
        <w:t>100</w:t>
      </w:r>
      <w:r>
        <w:rPr>
          <w:rFonts w:hint="eastAsia" w:ascii="仿宋" w:hAnsi="仿宋" w:eastAsia="仿宋"/>
          <w:color w:val="000000"/>
          <w:sz w:val="32"/>
          <w:szCs w:val="32"/>
        </w:rPr>
        <w:t>%。增加原因</w:t>
      </w:r>
      <w:r>
        <w:rPr>
          <w:rFonts w:hint="eastAsia" w:ascii="仿宋" w:hAnsi="仿宋" w:eastAsia="仿宋"/>
          <w:color w:val="000000"/>
          <w:sz w:val="32"/>
          <w:szCs w:val="32"/>
          <w:lang w:val="en-US" w:eastAsia="zh-CN"/>
        </w:rPr>
        <w:t>是</w:t>
      </w:r>
      <w:r>
        <w:rPr>
          <w:rFonts w:hint="eastAsia" w:ascii="仿宋" w:hAnsi="仿宋" w:eastAsia="仿宋"/>
          <w:color w:val="000000"/>
          <w:sz w:val="32"/>
          <w:szCs w:val="32"/>
        </w:rPr>
        <w:t>2018年新增单位。2018年</w:t>
      </w:r>
      <w:r>
        <w:rPr>
          <w:rFonts w:hint="eastAsia" w:ascii="仿宋" w:hAnsi="仿宋" w:eastAsia="仿宋"/>
          <w:color w:val="000000"/>
          <w:sz w:val="32"/>
          <w:szCs w:val="32"/>
          <w:lang w:val="en-US" w:eastAsia="zh-CN"/>
        </w:rPr>
        <w:t>总</w:t>
      </w:r>
      <w:r>
        <w:rPr>
          <w:rFonts w:hint="eastAsia" w:ascii="仿宋" w:hAnsi="仿宋" w:eastAsia="仿宋"/>
          <w:color w:val="000000"/>
          <w:sz w:val="32"/>
          <w:szCs w:val="32"/>
        </w:rPr>
        <w:t>支出为</w:t>
      </w:r>
      <w:r>
        <w:rPr>
          <w:rFonts w:hint="eastAsia" w:ascii="仿宋" w:hAnsi="仿宋" w:eastAsia="仿宋"/>
          <w:b/>
          <w:bCs/>
          <w:color w:val="000000"/>
          <w:sz w:val="32"/>
          <w:szCs w:val="32"/>
        </w:rPr>
        <w:t>260.14</w:t>
      </w:r>
      <w:r>
        <w:rPr>
          <w:rFonts w:hint="eastAsia" w:ascii="仿宋" w:hAnsi="仿宋" w:eastAsia="仿宋"/>
          <w:color w:val="000000"/>
          <w:sz w:val="32"/>
          <w:szCs w:val="32"/>
        </w:rPr>
        <w:t>万元，比2017年增加</w:t>
      </w:r>
      <w:r>
        <w:rPr>
          <w:rFonts w:hint="eastAsia" w:ascii="仿宋" w:hAnsi="仿宋" w:eastAsia="仿宋"/>
          <w:b/>
          <w:bCs/>
          <w:color w:val="000000"/>
          <w:sz w:val="32"/>
          <w:szCs w:val="32"/>
        </w:rPr>
        <w:t>100</w:t>
      </w:r>
      <w:r>
        <w:rPr>
          <w:rFonts w:hint="eastAsia" w:ascii="仿宋" w:hAnsi="仿宋" w:eastAsia="仿宋"/>
          <w:color w:val="000000"/>
          <w:sz w:val="32"/>
          <w:szCs w:val="32"/>
        </w:rPr>
        <w:t>%，主要原因是2018年新增单位。</w:t>
      </w:r>
    </w:p>
    <w:p>
      <w:pPr>
        <w:spacing w:line="600" w:lineRule="exact"/>
        <w:ind w:firstLine="640" w:firstLineChars="200"/>
        <w:jc w:val="left"/>
        <w:rPr>
          <w:rFonts w:hint="eastAsia" w:ascii="仿宋_GB2312" w:eastAsia="仿宋_GB2312"/>
          <w:color w:val="000000"/>
          <w:sz w:val="32"/>
          <w:szCs w:val="32"/>
          <w:lang w:eastAsia="zh-CN"/>
        </w:rPr>
      </w:pPr>
    </w:p>
    <w:p>
      <w:pPr>
        <w:spacing w:line="600" w:lineRule="exact"/>
        <w:ind w:firstLine="640" w:firstLineChars="200"/>
        <w:jc w:val="left"/>
        <w:rPr>
          <w:rFonts w:hint="eastAsia" w:ascii="仿宋_GB2312" w:eastAsia="仿宋_GB2312"/>
          <w:color w:val="000000"/>
          <w:sz w:val="32"/>
          <w:szCs w:val="32"/>
          <w:lang w:eastAsia="zh-CN"/>
        </w:rPr>
      </w:pPr>
    </w:p>
    <w:p>
      <w:pPr>
        <w:spacing w:line="600" w:lineRule="exact"/>
        <w:ind w:firstLine="640" w:firstLineChars="200"/>
        <w:jc w:val="left"/>
        <w:rPr>
          <w:rFonts w:hint="eastAsia" w:ascii="仿宋_GB2312" w:eastAsia="仿宋_GB2312"/>
          <w:color w:val="000000"/>
          <w:sz w:val="32"/>
          <w:szCs w:val="32"/>
          <w:lang w:eastAsia="zh-CN"/>
        </w:rPr>
      </w:pPr>
    </w:p>
    <w:p>
      <w:pPr>
        <w:spacing w:line="600" w:lineRule="exact"/>
        <w:ind w:firstLine="640" w:firstLineChars="200"/>
        <w:jc w:val="left"/>
        <w:rPr>
          <w:rFonts w:hint="eastAsia" w:ascii="仿宋_GB2312" w:eastAsia="仿宋_GB2312"/>
          <w:color w:val="000000"/>
          <w:sz w:val="32"/>
          <w:szCs w:val="32"/>
          <w:lang w:eastAsia="zh-CN"/>
        </w:rPr>
      </w:pPr>
    </w:p>
    <w:p>
      <w:pPr>
        <w:spacing w:line="600" w:lineRule="exact"/>
        <w:ind w:firstLine="640" w:firstLineChars="200"/>
        <w:jc w:val="left"/>
        <w:rPr>
          <w:rFonts w:hint="eastAsia" w:ascii="仿宋_GB2312" w:eastAsia="仿宋_GB2312"/>
          <w:color w:val="000000"/>
          <w:sz w:val="32"/>
          <w:szCs w:val="32"/>
          <w:lang w:eastAsia="zh-CN"/>
        </w:rPr>
      </w:pPr>
    </w:p>
    <w:p>
      <w:pPr>
        <w:spacing w:line="600" w:lineRule="exact"/>
        <w:ind w:firstLine="640" w:firstLineChars="200"/>
        <w:jc w:val="left"/>
        <w:rPr>
          <w:rFonts w:hint="eastAsia" w:ascii="仿宋_GB2312" w:eastAsia="仿宋_GB2312"/>
          <w:color w:val="000000"/>
          <w:sz w:val="32"/>
          <w:szCs w:val="32"/>
          <w:lang w:eastAsia="zh-CN"/>
        </w:rPr>
      </w:pPr>
    </w:p>
    <w:p>
      <w:pPr>
        <w:spacing w:line="600" w:lineRule="exact"/>
        <w:ind w:firstLine="640" w:firstLineChars="200"/>
        <w:jc w:val="left"/>
        <w:rPr>
          <w:rFonts w:hint="eastAsia" w:ascii="仿宋_GB2312" w:eastAsia="仿宋_GB2312"/>
          <w:color w:val="000000"/>
          <w:sz w:val="32"/>
          <w:szCs w:val="32"/>
          <w:lang w:eastAsia="zh-CN"/>
        </w:rPr>
      </w:pPr>
    </w:p>
    <w:p>
      <w:pPr>
        <w:spacing w:line="600" w:lineRule="exact"/>
        <w:ind w:firstLine="640" w:firstLineChars="200"/>
        <w:jc w:val="left"/>
        <w:rPr>
          <w:rFonts w:hint="eastAsia" w:ascii="仿宋_GB2312" w:eastAsia="仿宋_GB2312"/>
          <w:color w:val="000000"/>
          <w:sz w:val="32"/>
          <w:szCs w:val="32"/>
          <w:lang w:eastAsia="zh-CN"/>
        </w:rPr>
      </w:pPr>
    </w:p>
    <w:p>
      <w:pPr>
        <w:spacing w:line="600" w:lineRule="exact"/>
        <w:ind w:firstLine="640" w:firstLineChars="200"/>
        <w:jc w:val="left"/>
        <w:rPr>
          <w:rFonts w:hint="eastAsia" w:ascii="仿宋_GB2312" w:eastAsia="仿宋_GB2312"/>
          <w:color w:val="000000"/>
          <w:sz w:val="32"/>
          <w:szCs w:val="32"/>
          <w:lang w:eastAsia="zh-CN"/>
        </w:rPr>
      </w:pPr>
      <w:r>
        <w:rPr>
          <w:rFonts w:ascii="仿宋_GB2312" w:eastAsia="仿宋_GB2312"/>
          <w:sz w:val="32"/>
          <w:szCs w:val="32"/>
        </w:rPr>
        <w:drawing>
          <wp:anchor distT="0" distB="0" distL="114300" distR="114300" simplePos="0" relativeHeight="251658240" behindDoc="0" locked="0" layoutInCell="1" allowOverlap="1">
            <wp:simplePos x="0" y="0"/>
            <wp:positionH relativeFrom="column">
              <wp:posOffset>349885</wp:posOffset>
            </wp:positionH>
            <wp:positionV relativeFrom="paragraph">
              <wp:posOffset>142875</wp:posOffset>
            </wp:positionV>
            <wp:extent cx="4730750" cy="2184400"/>
            <wp:effectExtent l="0" t="0" r="12700" b="6350"/>
            <wp:wrapTopAndBottom/>
            <wp:docPr id="2" name="图片 1" descr="wordml://03000002.png"/>
            <wp:cNvGraphicFramePr/>
            <a:graphic xmlns:a="http://schemas.openxmlformats.org/drawingml/2006/main">
              <a:graphicData uri="http://schemas.openxmlformats.org/drawingml/2006/picture">
                <pic:pic xmlns:pic="http://schemas.openxmlformats.org/drawingml/2006/picture">
                  <pic:nvPicPr>
                    <pic:cNvPr id="2" name="图片 1" descr="wordml://03000002.png"/>
                    <pic:cNvPicPr/>
                  </pic:nvPicPr>
                  <pic:blipFill>
                    <a:blip r:embed="rId6"/>
                    <a:stretch>
                      <a:fillRect/>
                    </a:stretch>
                  </pic:blipFill>
                  <pic:spPr>
                    <a:xfrm>
                      <a:off x="0" y="0"/>
                      <a:ext cx="4730750" cy="2184400"/>
                    </a:xfrm>
                    <a:prstGeom prst="rect">
                      <a:avLst/>
                    </a:prstGeom>
                    <a:noFill/>
                    <a:ln w="9525">
                      <a:noFill/>
                    </a:ln>
                  </pic:spPr>
                </pic:pic>
              </a:graphicData>
            </a:graphic>
          </wp:anchor>
        </w:drawing>
      </w:r>
    </w:p>
    <w:p>
      <w:pPr>
        <w:spacing w:line="600" w:lineRule="exact"/>
        <w:ind w:firstLine="640" w:firstLineChars="200"/>
        <w:jc w:val="left"/>
        <w:rPr>
          <w:rFonts w:hint="eastAsia" w:ascii="仿宋_GB2312" w:eastAsia="仿宋_GB2312"/>
          <w:color w:val="000000"/>
          <w:sz w:val="32"/>
          <w:szCs w:val="32"/>
          <w:lang w:eastAsia="zh-CN"/>
        </w:rPr>
      </w:pPr>
    </w:p>
    <w:p>
      <w:pPr>
        <w:pStyle w:val="23"/>
        <w:numPr>
          <w:ilvl w:val="0"/>
          <w:numId w:val="1"/>
        </w:numPr>
        <w:spacing w:line="600" w:lineRule="exact"/>
        <w:ind w:firstLineChars="0"/>
        <w:outlineLvl w:val="1"/>
        <w:rPr>
          <w:rStyle w:val="25"/>
          <w:rFonts w:ascii="黑体" w:hAnsi="黑体" w:eastAsia="黑体"/>
          <w:b w:val="0"/>
        </w:rPr>
      </w:pPr>
      <w:bookmarkStart w:id="26" w:name="_Toc15396604"/>
      <w:bookmarkStart w:id="27" w:name="_Toc15377206"/>
      <w:r>
        <w:rPr>
          <w:rFonts w:hint="eastAsia" w:ascii="黑体" w:hAnsi="黑体" w:eastAsia="黑体"/>
          <w:color w:val="000000"/>
          <w:sz w:val="32"/>
          <w:szCs w:val="32"/>
        </w:rPr>
        <w:t>收</w:t>
      </w:r>
      <w:r>
        <w:rPr>
          <w:rStyle w:val="25"/>
          <w:rFonts w:hint="eastAsia" w:ascii="黑体" w:hAnsi="黑体" w:eastAsia="黑体"/>
          <w:b w:val="0"/>
        </w:rPr>
        <w:t>入决算情况说明</w:t>
      </w:r>
      <w:bookmarkEnd w:id="26"/>
      <w:bookmarkEnd w:id="27"/>
    </w:p>
    <w:p>
      <w:pPr>
        <w:spacing w:line="600" w:lineRule="exact"/>
        <w:ind w:firstLine="640" w:firstLineChars="200"/>
        <w:outlineLvl w:val="1"/>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8年本年收入合计</w:t>
      </w:r>
      <w:r>
        <w:rPr>
          <w:rFonts w:hint="eastAsia" w:ascii="仿宋" w:hAnsi="仿宋" w:eastAsia="仿宋"/>
          <w:b/>
          <w:bCs/>
          <w:color w:val="000000"/>
          <w:sz w:val="32"/>
          <w:szCs w:val="32"/>
          <w:lang w:val="en-US" w:eastAsia="zh-CN"/>
        </w:rPr>
        <w:t>263.13</w:t>
      </w:r>
      <w:r>
        <w:rPr>
          <w:rFonts w:hint="eastAsia" w:ascii="仿宋" w:hAnsi="仿宋" w:eastAsia="仿宋"/>
          <w:color w:val="000000"/>
          <w:sz w:val="32"/>
          <w:szCs w:val="32"/>
        </w:rPr>
        <w:t>万元，其中：一般公共预算财政拨款收入</w:t>
      </w:r>
      <w:r>
        <w:rPr>
          <w:rFonts w:hint="eastAsia" w:ascii="仿宋" w:hAnsi="仿宋" w:eastAsia="仿宋"/>
          <w:b/>
          <w:bCs/>
          <w:color w:val="000000"/>
          <w:sz w:val="32"/>
          <w:szCs w:val="32"/>
          <w:lang w:val="en-US" w:eastAsia="zh-CN"/>
        </w:rPr>
        <w:t>263.13</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；政府性基金预算财政拨款收入</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；国有资本经营预算财政拨款收入</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；事业收入</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；经营收入</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；附属单位上缴收入</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；其他收入</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rPr>
          <w:rFonts w:hint="eastAsia" w:ascii="仿宋_GB2312" w:eastAsia="仿宋_GB2312"/>
          <w:color w:val="FF0000"/>
          <w:sz w:val="32"/>
          <w:szCs w:val="32"/>
          <w:lang w:eastAsia="zh-CN"/>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hint="eastAsia" w:ascii="仿宋_GB2312" w:eastAsia="仿宋_GB2312"/>
          <w:color w:val="FF0000"/>
          <w:sz w:val="32"/>
          <w:szCs w:val="32"/>
          <w:lang w:eastAsia="zh-CN"/>
        </w:rPr>
      </w:pPr>
      <w:r>
        <w:rPr>
          <w:rFonts w:hint="eastAsia" w:ascii="仿宋_GB2312" w:eastAsia="仿宋_GB2312"/>
          <w:color w:val="FF0000"/>
          <w:sz w:val="32"/>
          <w:szCs w:val="32"/>
          <w:lang w:eastAsia="zh-CN"/>
        </w:rPr>
        <w:drawing>
          <wp:anchor distT="0" distB="0" distL="114300" distR="114300" simplePos="0" relativeHeight="251659264" behindDoc="0" locked="0" layoutInCell="1" allowOverlap="1">
            <wp:simplePos x="0" y="0"/>
            <wp:positionH relativeFrom="column">
              <wp:posOffset>334645</wp:posOffset>
            </wp:positionH>
            <wp:positionV relativeFrom="paragraph">
              <wp:posOffset>213995</wp:posOffset>
            </wp:positionV>
            <wp:extent cx="4766310" cy="2619375"/>
            <wp:effectExtent l="4445" t="4445" r="10795" b="5080"/>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3"/>
        <w:numPr>
          <w:ilvl w:val="0"/>
          <w:numId w:val="1"/>
        </w:numPr>
        <w:spacing w:line="600" w:lineRule="exact"/>
        <w:ind w:firstLineChars="0"/>
        <w:outlineLvl w:val="1"/>
        <w:rPr>
          <w:rStyle w:val="25"/>
          <w:rFonts w:ascii="黑体" w:hAnsi="黑体" w:eastAsia="黑体"/>
          <w:b w:val="0"/>
        </w:rPr>
      </w:pPr>
      <w:bookmarkStart w:id="28" w:name="_Toc15396605"/>
      <w:bookmarkStart w:id="29" w:name="_Toc15377207"/>
      <w:r>
        <w:rPr>
          <w:rFonts w:hint="eastAsia" w:ascii="黑体" w:hAnsi="黑体" w:eastAsia="黑体"/>
          <w:color w:val="000000"/>
          <w:sz w:val="32"/>
          <w:szCs w:val="32"/>
        </w:rPr>
        <w:t>支</w:t>
      </w:r>
      <w:r>
        <w:rPr>
          <w:rStyle w:val="25"/>
          <w:rFonts w:hint="eastAsia" w:ascii="黑体" w:hAnsi="黑体" w:eastAsia="黑体"/>
          <w:b w:val="0"/>
        </w:rPr>
        <w:t>出决算情况说明</w:t>
      </w:r>
      <w:bookmarkEnd w:id="28"/>
      <w:bookmarkEnd w:id="29"/>
    </w:p>
    <w:p>
      <w:pPr>
        <w:spacing w:line="600" w:lineRule="exact"/>
        <w:ind w:firstLine="640"/>
        <w:rPr>
          <w:rFonts w:ascii="仿宋" w:hAnsi="仿宋" w:eastAsia="仿宋"/>
          <w:color w:val="000000"/>
          <w:sz w:val="32"/>
          <w:szCs w:val="32"/>
          <w:shd w:val="pct10" w:color="auto" w:fill="FFFFFF"/>
        </w:rPr>
      </w:pPr>
      <w:r>
        <w:rPr>
          <w:rFonts w:ascii="仿宋" w:hAnsi="仿宋" w:eastAsia="仿宋"/>
          <w:color w:val="000000"/>
          <w:sz w:val="32"/>
          <w:szCs w:val="32"/>
        </w:rPr>
        <w:t>201</w:t>
      </w:r>
      <w:r>
        <w:rPr>
          <w:rFonts w:hint="eastAsia" w:ascii="仿宋" w:hAnsi="仿宋" w:eastAsia="仿宋"/>
          <w:color w:val="000000"/>
          <w:sz w:val="32"/>
          <w:szCs w:val="32"/>
        </w:rPr>
        <w:t>8年本年支出合计</w:t>
      </w:r>
      <w:r>
        <w:rPr>
          <w:rFonts w:hint="eastAsia" w:ascii="仿宋" w:hAnsi="仿宋" w:eastAsia="仿宋"/>
          <w:b/>
          <w:bCs/>
          <w:color w:val="000000"/>
          <w:sz w:val="32"/>
          <w:szCs w:val="32"/>
          <w:lang w:val="en-US" w:eastAsia="zh-CN"/>
        </w:rPr>
        <w:t>260.14</w:t>
      </w:r>
      <w:r>
        <w:rPr>
          <w:rFonts w:hint="eastAsia" w:ascii="仿宋" w:hAnsi="仿宋" w:eastAsia="仿宋"/>
          <w:color w:val="000000"/>
          <w:sz w:val="32"/>
          <w:szCs w:val="32"/>
        </w:rPr>
        <w:t>万元，其中：基本支出</w:t>
      </w:r>
      <w:r>
        <w:rPr>
          <w:rFonts w:hint="eastAsia" w:ascii="仿宋" w:hAnsi="仿宋" w:eastAsia="仿宋"/>
          <w:b/>
          <w:bCs/>
          <w:color w:val="000000"/>
          <w:sz w:val="32"/>
          <w:szCs w:val="32"/>
          <w:lang w:val="en-US" w:eastAsia="zh-CN"/>
        </w:rPr>
        <w:t>260.14</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；项目支出</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；上缴上级支出</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；经营支出</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；对附属单位补助支出</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w:t>
      </w: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hint="eastAsia" w:ascii="仿宋_GB2312" w:eastAsia="仿宋_GB2312"/>
          <w:color w:val="FF0000"/>
          <w:sz w:val="32"/>
          <w:szCs w:val="32"/>
          <w:lang w:eastAsia="zh-CN"/>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p>
    <w:p>
      <w:pPr>
        <w:spacing w:line="600" w:lineRule="exact"/>
        <w:ind w:firstLine="640" w:firstLineChars="200"/>
        <w:rPr>
          <w:rFonts w:ascii="仿宋_GB2312" w:eastAsia="仿宋_GB2312"/>
          <w:color w:val="FF0000"/>
          <w:sz w:val="32"/>
          <w:szCs w:val="32"/>
        </w:rPr>
      </w:pPr>
      <w:r>
        <w:rPr>
          <w:rFonts w:hint="eastAsia" w:ascii="仿宋_GB2312" w:eastAsia="仿宋_GB2312"/>
          <w:color w:val="FF0000"/>
          <w:sz w:val="32"/>
          <w:szCs w:val="32"/>
          <w:lang w:eastAsia="zh-CN"/>
        </w:rPr>
        <w:drawing>
          <wp:anchor distT="0" distB="0" distL="114300" distR="114300" simplePos="0" relativeHeight="251660288" behindDoc="0" locked="0" layoutInCell="1" allowOverlap="1">
            <wp:simplePos x="0" y="0"/>
            <wp:positionH relativeFrom="column">
              <wp:posOffset>410845</wp:posOffset>
            </wp:positionH>
            <wp:positionV relativeFrom="paragraph">
              <wp:posOffset>185420</wp:posOffset>
            </wp:positionV>
            <wp:extent cx="4384040" cy="2724785"/>
            <wp:effectExtent l="4445" t="5080" r="12065" b="1333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pPr>
        <w:spacing w:line="600" w:lineRule="exact"/>
        <w:rPr>
          <w:rFonts w:ascii="仿宋_GB2312" w:eastAsia="仿宋_GB2312"/>
          <w:color w:val="FF0000"/>
          <w:sz w:val="32"/>
          <w:szCs w:val="32"/>
        </w:rPr>
      </w:pPr>
    </w:p>
    <w:p>
      <w:pPr>
        <w:spacing w:line="600" w:lineRule="exact"/>
        <w:ind w:firstLine="640" w:firstLineChars="200"/>
        <w:outlineLvl w:val="1"/>
        <w:rPr>
          <w:rStyle w:val="25"/>
          <w:rFonts w:ascii="黑体" w:hAnsi="黑体" w:eastAsia="黑体"/>
          <w:b w:val="0"/>
        </w:rPr>
      </w:pPr>
      <w:bookmarkStart w:id="30" w:name="_Toc15396606"/>
      <w:bookmarkStart w:id="31" w:name="_Toc15377208"/>
      <w:r>
        <w:rPr>
          <w:rFonts w:hint="eastAsia" w:ascii="黑体" w:hAnsi="黑体" w:eastAsia="黑体"/>
          <w:color w:val="000000"/>
          <w:sz w:val="32"/>
          <w:szCs w:val="32"/>
        </w:rPr>
        <w:t>四、财</w:t>
      </w:r>
      <w:r>
        <w:rPr>
          <w:rStyle w:val="25"/>
          <w:rFonts w:hint="eastAsia" w:ascii="黑体" w:hAnsi="黑体" w:eastAsia="黑体"/>
          <w:b w:val="0"/>
        </w:rPr>
        <w:t>政拨款收入支出决算总体情况说明</w:t>
      </w:r>
      <w:bookmarkEnd w:id="30"/>
      <w:bookmarkEnd w:id="31"/>
    </w:p>
    <w:p>
      <w:pPr>
        <w:spacing w:line="600" w:lineRule="exact"/>
        <w:ind w:firstLine="640" w:firstLineChars="200"/>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8年财政拨款收</w:t>
      </w:r>
      <w:r>
        <w:rPr>
          <w:rFonts w:hint="eastAsia" w:ascii="仿宋" w:hAnsi="仿宋" w:eastAsia="仿宋"/>
          <w:color w:val="000000"/>
          <w:sz w:val="32"/>
          <w:szCs w:val="32"/>
          <w:lang w:val="en-US" w:eastAsia="zh-CN"/>
        </w:rPr>
        <w:t>入</w:t>
      </w:r>
      <w:r>
        <w:rPr>
          <w:rFonts w:hint="eastAsia" w:ascii="仿宋" w:hAnsi="仿宋" w:eastAsia="仿宋"/>
          <w:color w:val="000000"/>
          <w:sz w:val="32"/>
          <w:szCs w:val="32"/>
        </w:rPr>
        <w:t>总计</w:t>
      </w:r>
      <w:r>
        <w:rPr>
          <w:rFonts w:hint="eastAsia" w:ascii="仿宋" w:hAnsi="仿宋" w:eastAsia="仿宋"/>
          <w:b/>
          <w:bCs/>
          <w:color w:val="000000"/>
          <w:sz w:val="32"/>
          <w:szCs w:val="32"/>
          <w:lang w:val="en-US" w:eastAsia="zh-CN"/>
        </w:rPr>
        <w:t>263.13</w:t>
      </w:r>
      <w:r>
        <w:rPr>
          <w:rFonts w:hint="eastAsia" w:ascii="仿宋" w:hAnsi="仿宋" w:eastAsia="仿宋"/>
          <w:color w:val="000000"/>
          <w:sz w:val="32"/>
          <w:szCs w:val="32"/>
        </w:rPr>
        <w:t>万元</w:t>
      </w:r>
      <w:r>
        <w:rPr>
          <w:rFonts w:hint="eastAsia" w:ascii="仿宋" w:hAnsi="仿宋" w:eastAsia="仿宋"/>
          <w:color w:val="000000"/>
          <w:sz w:val="32"/>
          <w:szCs w:val="32"/>
          <w:lang w:eastAsia="zh-CN"/>
        </w:rPr>
        <w:t>，</w:t>
      </w:r>
      <w:r>
        <w:rPr>
          <w:rFonts w:hint="eastAsia" w:ascii="仿宋" w:hAnsi="仿宋" w:eastAsia="仿宋"/>
          <w:color w:val="000000"/>
          <w:sz w:val="32"/>
          <w:szCs w:val="32"/>
        </w:rPr>
        <w:t>财政拨款</w:t>
      </w:r>
      <w:r>
        <w:rPr>
          <w:rFonts w:hint="eastAsia" w:ascii="仿宋" w:hAnsi="仿宋" w:eastAsia="仿宋"/>
          <w:color w:val="000000"/>
          <w:sz w:val="32"/>
          <w:szCs w:val="32"/>
          <w:lang w:val="en-US" w:eastAsia="zh-CN"/>
        </w:rPr>
        <w:t>总支出为</w:t>
      </w:r>
      <w:r>
        <w:rPr>
          <w:rFonts w:hint="eastAsia" w:ascii="仿宋" w:hAnsi="仿宋" w:eastAsia="仿宋"/>
          <w:b/>
          <w:bCs/>
          <w:color w:val="000000"/>
          <w:sz w:val="32"/>
          <w:szCs w:val="32"/>
          <w:lang w:val="en-US" w:eastAsia="zh-CN"/>
        </w:rPr>
        <w:t>260.14</w:t>
      </w:r>
      <w:r>
        <w:rPr>
          <w:rFonts w:hint="eastAsia" w:ascii="仿宋" w:hAnsi="仿宋" w:eastAsia="仿宋"/>
          <w:color w:val="000000"/>
          <w:sz w:val="32"/>
          <w:szCs w:val="32"/>
          <w:lang w:val="en-US" w:eastAsia="zh-CN"/>
        </w:rPr>
        <w:t>万元</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7年相比，财政拨款收</w:t>
      </w:r>
      <w:r>
        <w:rPr>
          <w:rFonts w:hint="eastAsia" w:ascii="仿宋" w:hAnsi="仿宋" w:eastAsia="仿宋"/>
          <w:color w:val="000000"/>
          <w:sz w:val="32"/>
          <w:szCs w:val="32"/>
          <w:lang w:val="en-US" w:eastAsia="zh-CN"/>
        </w:rPr>
        <w:t>入增加</w:t>
      </w:r>
      <w:r>
        <w:rPr>
          <w:rFonts w:hint="eastAsia" w:ascii="仿宋" w:hAnsi="仿宋" w:eastAsia="仿宋"/>
          <w:b/>
          <w:bCs/>
          <w:color w:val="000000"/>
          <w:sz w:val="32"/>
          <w:szCs w:val="32"/>
          <w:lang w:val="en-US" w:eastAsia="zh-CN"/>
        </w:rPr>
        <w:t>263.13</w:t>
      </w:r>
      <w:r>
        <w:rPr>
          <w:rFonts w:hint="eastAsia" w:ascii="仿宋" w:hAnsi="仿宋" w:eastAsia="仿宋"/>
          <w:color w:val="000000"/>
          <w:sz w:val="32"/>
          <w:szCs w:val="32"/>
          <w:lang w:val="en-US" w:eastAsia="zh-CN"/>
        </w:rPr>
        <w:t>万元，增长</w:t>
      </w:r>
      <w:r>
        <w:rPr>
          <w:rFonts w:hint="eastAsia" w:ascii="仿宋" w:hAnsi="仿宋" w:eastAsia="仿宋"/>
          <w:b/>
          <w:bCs/>
          <w:color w:val="000000"/>
          <w:sz w:val="32"/>
          <w:szCs w:val="32"/>
          <w:lang w:val="en-US" w:eastAsia="zh-CN"/>
        </w:rPr>
        <w:t>100</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财政拨款</w:t>
      </w:r>
      <w:r>
        <w:rPr>
          <w:rFonts w:hint="eastAsia" w:ascii="仿宋" w:hAnsi="仿宋" w:eastAsia="仿宋"/>
          <w:color w:val="000000"/>
          <w:sz w:val="32"/>
          <w:szCs w:val="32"/>
          <w:lang w:val="en-US" w:eastAsia="zh-CN"/>
        </w:rPr>
        <w:t>总支出增加</w:t>
      </w:r>
      <w:r>
        <w:rPr>
          <w:rFonts w:hint="eastAsia" w:ascii="仿宋" w:hAnsi="仿宋" w:eastAsia="仿宋"/>
          <w:b/>
          <w:bCs/>
          <w:color w:val="000000"/>
          <w:sz w:val="32"/>
          <w:szCs w:val="32"/>
          <w:lang w:val="en-US" w:eastAsia="zh-CN"/>
        </w:rPr>
        <w:t>260.14</w:t>
      </w:r>
      <w:r>
        <w:rPr>
          <w:rFonts w:hint="eastAsia" w:ascii="仿宋" w:hAnsi="仿宋" w:eastAsia="仿宋"/>
          <w:color w:val="000000"/>
          <w:sz w:val="32"/>
          <w:szCs w:val="32"/>
          <w:lang w:val="en-US" w:eastAsia="zh-CN"/>
        </w:rPr>
        <w:t>万元，增长</w:t>
      </w:r>
      <w:r>
        <w:rPr>
          <w:rFonts w:hint="eastAsia" w:ascii="仿宋" w:hAnsi="仿宋" w:eastAsia="仿宋"/>
          <w:b/>
          <w:bCs/>
          <w:color w:val="000000"/>
          <w:sz w:val="32"/>
          <w:szCs w:val="32"/>
          <w:lang w:val="en-US" w:eastAsia="zh-CN"/>
        </w:rPr>
        <w:t>100</w:t>
      </w:r>
      <w:r>
        <w:rPr>
          <w:rFonts w:hint="eastAsia" w:ascii="仿宋" w:hAnsi="仿宋" w:eastAsia="仿宋"/>
          <w:color w:val="000000"/>
          <w:sz w:val="32"/>
          <w:szCs w:val="32"/>
          <w:lang w:val="en-US" w:eastAsia="zh-CN"/>
        </w:rPr>
        <w:t>%。</w:t>
      </w:r>
      <w:r>
        <w:rPr>
          <w:rFonts w:hint="eastAsia" w:ascii="仿宋" w:hAnsi="仿宋" w:eastAsia="仿宋"/>
          <w:color w:val="000000"/>
          <w:sz w:val="32"/>
          <w:szCs w:val="32"/>
        </w:rPr>
        <w:t>主要变动原因是2018年新增单位。</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3" w:firstLineChars="200"/>
        <w:rPr>
          <w:rFonts w:ascii="仿宋" w:hAnsi="仿宋" w:eastAsia="仿宋"/>
          <w:b/>
          <w:color w:val="00B050"/>
          <w:sz w:val="32"/>
          <w:szCs w:val="32"/>
        </w:rPr>
      </w:pPr>
    </w:p>
    <w:p>
      <w:pPr>
        <w:spacing w:line="600" w:lineRule="exact"/>
        <w:ind w:firstLine="643" w:firstLineChars="200"/>
        <w:rPr>
          <w:rFonts w:ascii="仿宋" w:hAnsi="仿宋" w:eastAsia="仿宋"/>
          <w:b/>
          <w:color w:val="00B050"/>
          <w:sz w:val="32"/>
          <w:szCs w:val="32"/>
        </w:rPr>
      </w:pPr>
    </w:p>
    <w:p>
      <w:pPr>
        <w:spacing w:line="600" w:lineRule="exact"/>
        <w:ind w:firstLine="643" w:firstLineChars="200"/>
        <w:rPr>
          <w:rFonts w:ascii="仿宋" w:hAnsi="仿宋" w:eastAsia="仿宋"/>
          <w:b/>
          <w:color w:val="00B050"/>
          <w:sz w:val="32"/>
          <w:szCs w:val="32"/>
        </w:rPr>
      </w:pPr>
    </w:p>
    <w:p>
      <w:pPr>
        <w:spacing w:line="600" w:lineRule="exact"/>
        <w:ind w:firstLine="640" w:firstLineChars="200"/>
        <w:rPr>
          <w:rFonts w:ascii="仿宋" w:hAnsi="仿宋" w:eastAsia="仿宋"/>
          <w:b/>
          <w:color w:val="00B050"/>
          <w:sz w:val="32"/>
          <w:szCs w:val="32"/>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1312" behindDoc="0" locked="0" layoutInCell="1" allowOverlap="1">
            <wp:simplePos x="0" y="0"/>
            <wp:positionH relativeFrom="column">
              <wp:posOffset>410845</wp:posOffset>
            </wp:positionH>
            <wp:positionV relativeFrom="paragraph">
              <wp:posOffset>233045</wp:posOffset>
            </wp:positionV>
            <wp:extent cx="4509135" cy="3648075"/>
            <wp:effectExtent l="4445" t="4445" r="20320" b="5080"/>
            <wp:wrapTopAndBottom/>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pPr>
        <w:spacing w:line="600" w:lineRule="exact"/>
        <w:ind w:firstLine="640" w:firstLineChars="200"/>
        <w:outlineLvl w:val="1"/>
        <w:rPr>
          <w:rStyle w:val="25"/>
          <w:rFonts w:ascii="黑体" w:hAnsi="黑体" w:eastAsia="黑体"/>
          <w:b w:val="0"/>
        </w:rPr>
      </w:pPr>
      <w:bookmarkStart w:id="32" w:name="_Toc15377209"/>
      <w:bookmarkStart w:id="33" w:name="_Toc15396607"/>
      <w:r>
        <w:rPr>
          <w:rFonts w:hint="eastAsia" w:ascii="黑体" w:hAnsi="黑体" w:eastAsia="黑体"/>
          <w:color w:val="000000"/>
          <w:sz w:val="32"/>
          <w:szCs w:val="32"/>
        </w:rPr>
        <w:t>五、</w:t>
      </w:r>
      <w:r>
        <w:rPr>
          <w:rFonts w:hint="eastAsia" w:ascii="黑体" w:hAnsi="黑体" w:eastAsia="黑体"/>
          <w:b/>
          <w:color w:val="000000"/>
          <w:sz w:val="32"/>
          <w:szCs w:val="32"/>
        </w:rPr>
        <w:t>一</w:t>
      </w:r>
      <w:r>
        <w:rPr>
          <w:rStyle w:val="25"/>
          <w:rFonts w:hint="eastAsia" w:ascii="黑体" w:hAnsi="黑体" w:eastAsia="黑体"/>
          <w:b w:val="0"/>
        </w:rPr>
        <w:t>般公共预算财政拨款支出决算情况说明</w:t>
      </w:r>
      <w:bookmarkEnd w:id="32"/>
      <w:bookmarkEnd w:id="33"/>
    </w:p>
    <w:p>
      <w:pPr>
        <w:spacing w:line="600" w:lineRule="exact"/>
        <w:ind w:firstLine="643" w:firstLineChars="200"/>
        <w:outlineLvl w:val="2"/>
        <w:rPr>
          <w:rFonts w:ascii="仿宋" w:hAnsi="仿宋" w:eastAsia="仿宋"/>
          <w:b/>
          <w:color w:val="000000"/>
          <w:sz w:val="32"/>
          <w:szCs w:val="32"/>
        </w:rPr>
      </w:pPr>
      <w:bookmarkStart w:id="34" w:name="_Toc15377210"/>
      <w:r>
        <w:rPr>
          <w:rFonts w:hint="eastAsia" w:ascii="仿宋" w:hAnsi="仿宋" w:eastAsia="仿宋"/>
          <w:b/>
          <w:color w:val="000000"/>
          <w:sz w:val="32"/>
          <w:szCs w:val="32"/>
        </w:rPr>
        <w:t>（一）一般公共预算财政拨款支出决算总体情况</w:t>
      </w:r>
      <w:bookmarkEnd w:id="34"/>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8年一般公共预算财政拨款支出</w:t>
      </w:r>
      <w:r>
        <w:rPr>
          <w:rFonts w:hint="eastAsia" w:ascii="仿宋" w:hAnsi="仿宋" w:eastAsia="仿宋"/>
          <w:b/>
          <w:bCs/>
          <w:color w:val="000000"/>
          <w:sz w:val="32"/>
          <w:szCs w:val="32"/>
          <w:lang w:val="en-US" w:eastAsia="zh-CN"/>
        </w:rPr>
        <w:t>260.14</w:t>
      </w:r>
      <w:r>
        <w:rPr>
          <w:rFonts w:hint="eastAsia" w:ascii="仿宋" w:hAnsi="仿宋" w:eastAsia="仿宋"/>
          <w:color w:val="000000"/>
          <w:sz w:val="32"/>
          <w:szCs w:val="32"/>
        </w:rPr>
        <w:t>万元，占本年支出合计的</w:t>
      </w:r>
      <w:r>
        <w:rPr>
          <w:rFonts w:hint="eastAsia" w:ascii="仿宋" w:hAnsi="仿宋" w:eastAsia="仿宋"/>
          <w:b/>
          <w:bCs/>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。与</w:t>
      </w:r>
      <w:r>
        <w:rPr>
          <w:rFonts w:ascii="仿宋" w:hAnsi="仿宋" w:eastAsia="仿宋"/>
          <w:color w:val="000000"/>
          <w:sz w:val="32"/>
          <w:szCs w:val="32"/>
        </w:rPr>
        <w:t>201</w:t>
      </w:r>
      <w:r>
        <w:rPr>
          <w:rFonts w:hint="eastAsia" w:ascii="仿宋" w:hAnsi="仿宋" w:eastAsia="仿宋"/>
          <w:color w:val="000000"/>
          <w:sz w:val="32"/>
          <w:szCs w:val="32"/>
        </w:rPr>
        <w:t>7年相比，一般公共预算财政拨款增加</w:t>
      </w:r>
      <w:r>
        <w:rPr>
          <w:rFonts w:hint="eastAsia" w:ascii="仿宋" w:hAnsi="仿宋" w:eastAsia="仿宋"/>
          <w:b/>
          <w:bCs/>
          <w:color w:val="000000"/>
          <w:sz w:val="32"/>
          <w:szCs w:val="32"/>
          <w:lang w:val="en-US" w:eastAsia="zh-CN"/>
        </w:rPr>
        <w:t>260.14</w:t>
      </w:r>
      <w:r>
        <w:rPr>
          <w:rFonts w:hint="eastAsia" w:ascii="仿宋" w:hAnsi="仿宋" w:eastAsia="仿宋"/>
          <w:color w:val="000000"/>
          <w:sz w:val="32"/>
          <w:szCs w:val="32"/>
        </w:rPr>
        <w:t>万元，增长</w:t>
      </w:r>
      <w:r>
        <w:rPr>
          <w:rFonts w:hint="eastAsia" w:ascii="仿宋" w:hAnsi="仿宋" w:eastAsia="仿宋"/>
          <w:b/>
          <w:bCs/>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。主要变动原因是2018年新增单位。</w:t>
      </w: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p>
    <w:p>
      <w:pPr>
        <w:spacing w:line="600" w:lineRule="exact"/>
        <w:ind w:firstLine="640" w:firstLineChars="200"/>
        <w:rPr>
          <w:rFonts w:hint="eastAsia" w:ascii="仿宋" w:hAnsi="仿宋" w:eastAsia="仿宋"/>
          <w:color w:val="000000" w:themeColor="text1"/>
          <w:sz w:val="32"/>
          <w:szCs w:val="32"/>
          <w14:textFill>
            <w14:solidFill>
              <w14:schemeClr w14:val="tx1"/>
            </w14:solidFill>
          </w14:textFill>
        </w:rPr>
      </w:pPr>
      <w:r>
        <w:rPr>
          <w:rFonts w:hint="eastAsia" w:ascii="仿宋" w:hAnsi="仿宋" w:eastAsia="仿宋"/>
          <w:color w:val="000000" w:themeColor="text1"/>
          <w:sz w:val="32"/>
          <w:szCs w:val="32"/>
          <w:lang w:eastAsia="zh-CN"/>
          <w14:textFill>
            <w14:solidFill>
              <w14:schemeClr w14:val="tx1"/>
            </w14:solidFill>
          </w14:textFill>
        </w:rPr>
        <w:drawing>
          <wp:anchor distT="0" distB="0" distL="114300" distR="114300" simplePos="0" relativeHeight="251662336" behindDoc="0" locked="0" layoutInCell="1" allowOverlap="1">
            <wp:simplePos x="0" y="0"/>
            <wp:positionH relativeFrom="column">
              <wp:posOffset>410845</wp:posOffset>
            </wp:positionH>
            <wp:positionV relativeFrom="paragraph">
              <wp:posOffset>167005</wp:posOffset>
            </wp:positionV>
            <wp:extent cx="4603115" cy="4165600"/>
            <wp:effectExtent l="4445" t="4445" r="21590" b="20955"/>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anchor>
        </w:drawing>
      </w:r>
    </w:p>
    <w:p>
      <w:pPr>
        <w:spacing w:line="600" w:lineRule="exact"/>
        <w:ind w:firstLine="643" w:firstLineChars="200"/>
        <w:outlineLvl w:val="2"/>
        <w:rPr>
          <w:rFonts w:ascii="仿宋" w:hAnsi="仿宋" w:eastAsia="仿宋"/>
          <w:b/>
          <w:color w:val="000000"/>
          <w:sz w:val="32"/>
          <w:szCs w:val="32"/>
        </w:rPr>
      </w:pPr>
      <w:bookmarkStart w:id="35" w:name="_Toc15377211"/>
      <w:r>
        <w:rPr>
          <w:rFonts w:hint="eastAsia" w:ascii="仿宋" w:hAnsi="仿宋" w:eastAsia="仿宋"/>
          <w:b/>
          <w:color w:val="000000"/>
          <w:sz w:val="32"/>
          <w:szCs w:val="32"/>
        </w:rPr>
        <w:t>（二）一般公共预算财政拨款支出决算结构情况</w:t>
      </w:r>
      <w:bookmarkEnd w:id="35"/>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8年一般公共预算财</w:t>
      </w:r>
      <w:r>
        <w:rPr>
          <w:rFonts w:hint="eastAsia" w:ascii="仿宋" w:hAnsi="仿宋" w:eastAsia="仿宋"/>
          <w:color w:val="000000" w:themeColor="text1"/>
          <w:sz w:val="32"/>
          <w:szCs w:val="32"/>
          <w14:textFill>
            <w14:solidFill>
              <w14:schemeClr w14:val="tx1"/>
            </w14:solidFill>
          </w14:textFill>
        </w:rPr>
        <w:t>政拨款支出</w:t>
      </w:r>
      <w:r>
        <w:rPr>
          <w:rFonts w:hint="eastAsia" w:ascii="仿宋" w:hAnsi="仿宋" w:eastAsia="仿宋"/>
          <w:b/>
          <w:bCs/>
          <w:color w:val="000000" w:themeColor="text1"/>
          <w:sz w:val="32"/>
          <w:szCs w:val="32"/>
          <w:lang w:val="en-US" w:eastAsia="zh-CN"/>
          <w14:textFill>
            <w14:solidFill>
              <w14:schemeClr w14:val="tx1"/>
            </w14:solidFill>
          </w14:textFill>
        </w:rPr>
        <w:t>260.14</w:t>
      </w:r>
      <w:r>
        <w:rPr>
          <w:rFonts w:hint="eastAsia" w:ascii="仿宋" w:hAnsi="仿宋" w:eastAsia="仿宋"/>
          <w:color w:val="000000" w:themeColor="text1"/>
          <w:sz w:val="32"/>
          <w:szCs w:val="32"/>
          <w14:textFill>
            <w14:solidFill>
              <w14:schemeClr w14:val="tx1"/>
            </w14:solidFill>
          </w14:textFill>
        </w:rPr>
        <w:t>万元，主要用于以下方面</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b w:val="0"/>
          <w:bCs/>
          <w:color w:val="000000" w:themeColor="text1"/>
          <w:sz w:val="32"/>
          <w:szCs w:val="32"/>
          <w14:textFill>
            <w14:solidFill>
              <w14:schemeClr w14:val="tx1"/>
            </w14:solidFill>
          </w14:textFill>
        </w:rPr>
        <w:t>社会保障和就业支出</w:t>
      </w:r>
      <w:r>
        <w:rPr>
          <w:rFonts w:hint="eastAsia" w:ascii="仿宋" w:hAnsi="仿宋" w:eastAsia="仿宋"/>
          <w:b/>
          <w:bCs/>
          <w:color w:val="000000" w:themeColor="text1"/>
          <w:sz w:val="32"/>
          <w:szCs w:val="32"/>
          <w14:textFill>
            <w14:solidFill>
              <w14:schemeClr w14:val="tx1"/>
            </w14:solidFill>
          </w14:textFill>
        </w:rPr>
        <w:t>29.09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11.18</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；医疗卫生支出</w:t>
      </w:r>
      <w:r>
        <w:rPr>
          <w:rFonts w:hint="eastAsia" w:ascii="仿宋" w:hAnsi="仿宋" w:eastAsia="仿宋"/>
          <w:b/>
          <w:bCs/>
          <w:color w:val="000000" w:themeColor="text1"/>
          <w:sz w:val="32"/>
          <w:szCs w:val="32"/>
          <w:lang w:val="en-US" w:eastAsia="zh-CN"/>
          <w14:textFill>
            <w14:solidFill>
              <w14:schemeClr w14:val="tx1"/>
            </w14:solidFill>
          </w14:textFill>
        </w:rPr>
        <w:t>12</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4.61</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；住房保障支出</w:t>
      </w:r>
      <w:r>
        <w:rPr>
          <w:rFonts w:hint="eastAsia" w:ascii="仿宋" w:hAnsi="仿宋" w:eastAsia="仿宋"/>
          <w:b/>
          <w:bCs/>
          <w:color w:val="000000" w:themeColor="text1"/>
          <w:sz w:val="32"/>
          <w:szCs w:val="32"/>
          <w14:textFill>
            <w14:solidFill>
              <w14:schemeClr w14:val="tx1"/>
            </w14:solidFill>
          </w14:textFill>
        </w:rPr>
        <w:t>18.09</w:t>
      </w:r>
      <w:r>
        <w:rPr>
          <w:rFonts w:hint="eastAsia" w:ascii="仿宋" w:hAnsi="仿宋" w:eastAsia="仿宋"/>
          <w:color w:val="000000" w:themeColor="text1"/>
          <w:sz w:val="32"/>
          <w:szCs w:val="32"/>
          <w14:textFill>
            <w14:solidFill>
              <w14:schemeClr w14:val="tx1"/>
            </w14:solidFill>
          </w14:textFill>
        </w:rPr>
        <w:t>万元，占</w:t>
      </w:r>
      <w:r>
        <w:rPr>
          <w:rFonts w:hint="eastAsia" w:ascii="仿宋" w:hAnsi="仿宋" w:eastAsia="仿宋"/>
          <w:b/>
          <w:bCs/>
          <w:color w:val="000000" w:themeColor="text1"/>
          <w:sz w:val="32"/>
          <w:szCs w:val="32"/>
          <w:lang w:val="en-US" w:eastAsia="zh-CN"/>
          <w14:textFill>
            <w14:solidFill>
              <w14:schemeClr w14:val="tx1"/>
            </w14:solidFill>
          </w14:textFill>
        </w:rPr>
        <w:t>6.95</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；国土海洋气象等支出</w:t>
      </w:r>
      <w:r>
        <w:rPr>
          <w:rFonts w:hint="eastAsia" w:ascii="仿宋" w:hAnsi="仿宋" w:eastAsia="仿宋"/>
          <w:b/>
          <w:bCs/>
          <w:color w:val="000000" w:themeColor="text1"/>
          <w:sz w:val="32"/>
          <w:szCs w:val="32"/>
          <w14:textFill>
            <w14:solidFill>
              <w14:schemeClr w14:val="tx1"/>
            </w14:solidFill>
          </w14:textFill>
        </w:rPr>
        <w:t>200.96</w:t>
      </w:r>
      <w:r>
        <w:rPr>
          <w:rFonts w:hint="eastAsia" w:ascii="仿宋" w:hAnsi="仿宋" w:eastAsia="仿宋"/>
          <w:color w:val="000000" w:themeColor="text1"/>
          <w:sz w:val="32"/>
          <w:szCs w:val="32"/>
          <w:lang w:val="en-US" w:eastAsia="zh-CN"/>
          <w14:textFill>
            <w14:solidFill>
              <w14:schemeClr w14:val="tx1"/>
            </w14:solidFill>
          </w14:textFill>
        </w:rPr>
        <w:t>万元</w:t>
      </w:r>
      <w:r>
        <w:rPr>
          <w:rFonts w:hint="eastAsia" w:ascii="仿宋" w:hAnsi="仿宋" w:eastAsia="仿宋"/>
          <w:color w:val="000000" w:themeColor="text1"/>
          <w:sz w:val="32"/>
          <w:szCs w:val="32"/>
          <w:lang w:eastAsia="zh-CN"/>
          <w14:textFill>
            <w14:solidFill>
              <w14:schemeClr w14:val="tx1"/>
            </w14:solidFill>
          </w14:textFill>
        </w:rPr>
        <w:t>，</w:t>
      </w:r>
      <w:r>
        <w:rPr>
          <w:rFonts w:hint="eastAsia" w:ascii="仿宋" w:hAnsi="仿宋" w:eastAsia="仿宋"/>
          <w:color w:val="000000" w:themeColor="text1"/>
          <w:sz w:val="32"/>
          <w:szCs w:val="32"/>
          <w:lang w:val="en-US" w:eastAsia="zh-CN"/>
          <w14:textFill>
            <w14:solidFill>
              <w14:schemeClr w14:val="tx1"/>
            </w14:solidFill>
          </w14:textFill>
        </w:rPr>
        <w:t>占</w:t>
      </w:r>
      <w:r>
        <w:rPr>
          <w:rFonts w:hint="eastAsia" w:ascii="仿宋" w:hAnsi="仿宋" w:eastAsia="仿宋"/>
          <w:b/>
          <w:bCs/>
          <w:color w:val="000000" w:themeColor="text1"/>
          <w:sz w:val="32"/>
          <w:szCs w:val="32"/>
          <w:lang w:val="en-US" w:eastAsia="zh-CN"/>
          <w14:textFill>
            <w14:solidFill>
              <w14:schemeClr w14:val="tx1"/>
            </w14:solidFill>
          </w14:textFill>
        </w:rPr>
        <w:t>77.26</w:t>
      </w:r>
      <w:r>
        <w:rPr>
          <w:rFonts w:hint="eastAsia" w:ascii="仿宋" w:hAnsi="仿宋" w:eastAsia="仿宋"/>
          <w:color w:val="000000" w:themeColor="text1"/>
          <w:sz w:val="32"/>
          <w:szCs w:val="32"/>
          <w:lang w:val="en-US" w:eastAsia="zh-CN"/>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p>
    <w:p>
      <w:pPr>
        <w:spacing w:line="600" w:lineRule="exact"/>
        <w:ind w:firstLine="640" w:firstLineChars="200"/>
        <w:rPr>
          <w:rFonts w:ascii="仿宋" w:hAnsi="仿宋" w:eastAsia="仿宋"/>
          <w:color w:val="000000"/>
          <w:sz w:val="32"/>
          <w:szCs w:val="32"/>
        </w:rPr>
      </w:pPr>
      <w:r>
        <w:rPr>
          <w:rFonts w:hint="eastAsia" w:ascii="仿宋" w:hAnsi="仿宋" w:eastAsia="仿宋"/>
          <w:color w:val="000000"/>
          <w:sz w:val="32"/>
          <w:szCs w:val="32"/>
          <w:lang w:eastAsia="zh-CN"/>
        </w:rPr>
        <w:drawing>
          <wp:anchor distT="0" distB="0" distL="114300" distR="114300" simplePos="0" relativeHeight="251663360" behindDoc="0" locked="0" layoutInCell="1" allowOverlap="1">
            <wp:simplePos x="0" y="0"/>
            <wp:positionH relativeFrom="column">
              <wp:posOffset>410845</wp:posOffset>
            </wp:positionH>
            <wp:positionV relativeFrom="paragraph">
              <wp:posOffset>185420</wp:posOffset>
            </wp:positionV>
            <wp:extent cx="4224020" cy="3143250"/>
            <wp:effectExtent l="4445" t="4445" r="19685" b="14605"/>
            <wp:wrapTopAndBottom/>
            <wp:docPr id="8" name="图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p>
    <w:p>
      <w:pPr>
        <w:spacing w:line="600" w:lineRule="exact"/>
        <w:ind w:firstLine="643" w:firstLineChars="200"/>
        <w:outlineLvl w:val="2"/>
        <w:rPr>
          <w:rFonts w:ascii="仿宋" w:hAnsi="仿宋" w:eastAsia="仿宋"/>
          <w:b/>
          <w:color w:val="000000"/>
          <w:sz w:val="32"/>
          <w:szCs w:val="32"/>
        </w:rPr>
      </w:pPr>
      <w:bookmarkStart w:id="36" w:name="_Toc15377212"/>
      <w:r>
        <w:rPr>
          <w:rFonts w:hint="eastAsia" w:ascii="仿宋" w:hAnsi="仿宋" w:eastAsia="仿宋"/>
          <w:b/>
          <w:color w:val="000000"/>
          <w:sz w:val="32"/>
          <w:szCs w:val="32"/>
        </w:rPr>
        <w:t>（三）一般公共预算财政拨款支出决算具体情况</w:t>
      </w:r>
      <w:bookmarkEnd w:id="36"/>
    </w:p>
    <w:p>
      <w:pPr>
        <w:spacing w:line="600" w:lineRule="exact"/>
        <w:ind w:firstLine="643" w:firstLineChars="200"/>
        <w:outlineLvl w:val="2"/>
        <w:rPr>
          <w:rFonts w:ascii="仿宋" w:hAnsi="仿宋" w:eastAsia="仿宋"/>
          <w:color w:val="FF0000"/>
          <w:sz w:val="32"/>
          <w:szCs w:val="32"/>
        </w:rPr>
      </w:pPr>
      <w:bookmarkStart w:id="37" w:name="_Toc15377213"/>
      <w:bookmarkStart w:id="38" w:name="_Toc15377444"/>
      <w:bookmarkStart w:id="39" w:name="_Toc15378460"/>
      <w:r>
        <w:rPr>
          <w:rFonts w:hint="eastAsia" w:ascii="仿宋" w:hAnsi="仿宋" w:eastAsia="仿宋"/>
          <w:b/>
          <w:color w:val="000000" w:themeColor="text1"/>
          <w:sz w:val="32"/>
          <w:szCs w:val="32"/>
          <w14:textFill>
            <w14:solidFill>
              <w14:schemeClr w14:val="tx1"/>
            </w14:solidFill>
          </w14:textFill>
        </w:rPr>
        <w:t>2018年</w:t>
      </w:r>
      <w:r>
        <w:rPr>
          <w:rFonts w:hint="eastAsia" w:ascii="仿宋" w:hAnsi="仿宋" w:eastAsia="仿宋"/>
          <w:b/>
          <w:color w:val="000000" w:themeColor="text1"/>
          <w:sz w:val="32"/>
          <w:szCs w:val="32"/>
          <w:lang w:val="en-US" w:eastAsia="zh-CN"/>
          <w14:textFill>
            <w14:solidFill>
              <w14:schemeClr w14:val="tx1"/>
            </w14:solidFill>
          </w14:textFill>
        </w:rPr>
        <w:t>一</w:t>
      </w:r>
      <w:r>
        <w:rPr>
          <w:rFonts w:hint="eastAsia" w:ascii="仿宋" w:hAnsi="仿宋" w:eastAsia="仿宋"/>
          <w:b/>
          <w:color w:val="000000" w:themeColor="text1"/>
          <w:sz w:val="32"/>
          <w:szCs w:val="32"/>
          <w14:textFill>
            <w14:solidFill>
              <w14:schemeClr w14:val="tx1"/>
            </w14:solidFill>
          </w14:textFill>
        </w:rPr>
        <w:t>般公共预算支出决算数为</w:t>
      </w:r>
      <w:r>
        <w:rPr>
          <w:rFonts w:hint="eastAsia" w:ascii="仿宋" w:hAnsi="仿宋" w:eastAsia="仿宋"/>
          <w:b/>
          <w:color w:val="000000" w:themeColor="text1"/>
          <w:sz w:val="32"/>
          <w:szCs w:val="32"/>
          <w:lang w:val="en-US" w:eastAsia="zh-CN"/>
          <w14:textFill>
            <w14:solidFill>
              <w14:schemeClr w14:val="tx1"/>
            </w14:solidFill>
          </w14:textFill>
        </w:rPr>
        <w:t>260.14万元</w:t>
      </w:r>
      <w:r>
        <w:rPr>
          <w:rFonts w:hint="eastAsia" w:ascii="仿宋" w:hAnsi="仿宋" w:eastAsia="仿宋"/>
          <w:color w:val="000000" w:themeColor="text1"/>
          <w:sz w:val="32"/>
          <w:szCs w:val="32"/>
          <w14:textFill>
            <w14:solidFill>
              <w14:schemeClr w14:val="tx1"/>
            </w14:solidFill>
          </w14:textFill>
        </w:rPr>
        <w:t>，</w:t>
      </w:r>
      <w:r>
        <w:rPr>
          <w:rStyle w:val="13"/>
          <w:rFonts w:hint="eastAsia" w:ascii="仿宋" w:hAnsi="仿宋" w:eastAsia="仿宋"/>
          <w:bCs/>
          <w:color w:val="000000" w:themeColor="text1"/>
          <w:sz w:val="32"/>
          <w:szCs w:val="32"/>
          <w14:textFill>
            <w14:solidFill>
              <w14:schemeClr w14:val="tx1"/>
            </w14:solidFill>
          </w14:textFill>
        </w:rPr>
        <w:t>完成</w:t>
      </w:r>
      <w:r>
        <w:rPr>
          <w:rStyle w:val="13"/>
          <w:rFonts w:hint="eastAsia" w:ascii="仿宋" w:hAnsi="仿宋" w:eastAsia="仿宋"/>
          <w:bCs/>
          <w:color w:val="000000"/>
          <w:sz w:val="32"/>
          <w:szCs w:val="32"/>
        </w:rPr>
        <w:t>预算</w:t>
      </w:r>
      <w:r>
        <w:rPr>
          <w:rStyle w:val="13"/>
          <w:rFonts w:hint="eastAsia" w:ascii="仿宋" w:hAnsi="仿宋" w:eastAsia="仿宋"/>
          <w:bCs/>
          <w:color w:val="000000"/>
          <w:sz w:val="32"/>
          <w:szCs w:val="32"/>
          <w:lang w:val="en-US" w:eastAsia="zh-CN"/>
        </w:rPr>
        <w:t>100</w:t>
      </w:r>
      <w:r>
        <w:rPr>
          <w:rStyle w:val="13"/>
          <w:rFonts w:ascii="仿宋" w:hAnsi="仿宋" w:eastAsia="仿宋"/>
          <w:b w:val="0"/>
          <w:bCs w:val="0"/>
          <w:color w:val="000000"/>
          <w:sz w:val="32"/>
          <w:szCs w:val="32"/>
        </w:rPr>
        <w:t>%</w:t>
      </w:r>
      <w:r>
        <w:rPr>
          <w:rStyle w:val="13"/>
          <w:rFonts w:hint="eastAsia" w:ascii="仿宋" w:hAnsi="仿宋" w:eastAsia="仿宋"/>
          <w:bCs/>
          <w:color w:val="000000"/>
          <w:sz w:val="32"/>
          <w:szCs w:val="32"/>
        </w:rPr>
        <w:t>。其中：</w:t>
      </w:r>
      <w:bookmarkEnd w:id="37"/>
      <w:bookmarkEnd w:id="38"/>
      <w:bookmarkEnd w:id="39"/>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1.</w:t>
      </w:r>
      <w:r>
        <w:rPr>
          <w:rFonts w:hint="eastAsia" w:ascii="仿宋" w:hAnsi="仿宋" w:eastAsia="仿宋"/>
          <w:b/>
          <w:bCs/>
          <w:color w:val="000000" w:themeColor="text1"/>
          <w:sz w:val="32"/>
          <w:szCs w:val="32"/>
          <w14:textFill>
            <w14:solidFill>
              <w14:schemeClr w14:val="tx1"/>
            </w14:solidFill>
          </w14:textFill>
        </w:rPr>
        <w:t>住房保障支出</w:t>
      </w:r>
      <w:r>
        <w:rPr>
          <w:rStyle w:val="13"/>
          <w:rFonts w:hint="eastAsia" w:ascii="仿宋" w:hAnsi="仿宋" w:eastAsia="仿宋"/>
          <w:bCs/>
          <w:color w:val="000000"/>
          <w:sz w:val="32"/>
          <w:szCs w:val="32"/>
        </w:rPr>
        <w:t>（类）住房改革支出（款）住房公积金（项）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bCs w:val="0"/>
          <w:color w:val="000000"/>
          <w:sz w:val="32"/>
          <w:szCs w:val="32"/>
          <w:lang w:val="en-US" w:eastAsia="zh-CN"/>
        </w:rPr>
        <w:t>18.09</w:t>
      </w:r>
      <w:r>
        <w:rPr>
          <w:rStyle w:val="13"/>
          <w:rFonts w:hint="eastAsia" w:ascii="仿宋" w:hAnsi="仿宋" w:eastAsia="仿宋"/>
          <w:b w:val="0"/>
          <w:bCs/>
          <w:color w:val="000000"/>
          <w:sz w:val="32"/>
          <w:szCs w:val="32"/>
        </w:rPr>
        <w:t>万元，完成预算</w:t>
      </w:r>
      <w:r>
        <w:rPr>
          <w:rStyle w:val="13"/>
          <w:rFonts w:hint="eastAsia" w:ascii="仿宋" w:hAnsi="仿宋" w:eastAsia="仿宋"/>
          <w:b/>
          <w:bCs w:val="0"/>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Fonts w:ascii="仿宋" w:hAnsi="仿宋" w:eastAsia="仿宋"/>
          <w:b/>
          <w:color w:val="000000"/>
          <w:sz w:val="32"/>
          <w:szCs w:val="32"/>
        </w:rPr>
      </w:pPr>
      <w:r>
        <w:rPr>
          <w:rStyle w:val="13"/>
          <w:rFonts w:ascii="仿宋" w:hAnsi="仿宋" w:eastAsia="仿宋"/>
          <w:bCs/>
          <w:color w:val="000000"/>
          <w:sz w:val="32"/>
          <w:szCs w:val="32"/>
        </w:rPr>
        <w:t>2.</w:t>
      </w:r>
      <w:r>
        <w:rPr>
          <w:rFonts w:hint="eastAsia" w:ascii="仿宋" w:hAnsi="仿宋" w:eastAsia="仿宋"/>
          <w:b/>
          <w:bCs/>
          <w:color w:val="000000" w:themeColor="text1"/>
          <w:sz w:val="32"/>
          <w:szCs w:val="32"/>
          <w14:textFill>
            <w14:solidFill>
              <w14:schemeClr w14:val="tx1"/>
            </w14:solidFill>
          </w14:textFill>
        </w:rPr>
        <w:t>国土海洋气象等支出</w:t>
      </w:r>
      <w:r>
        <w:rPr>
          <w:rStyle w:val="13"/>
          <w:rFonts w:hint="eastAsia" w:ascii="仿宋" w:hAnsi="仿宋" w:eastAsia="仿宋"/>
          <w:bCs/>
          <w:color w:val="000000"/>
          <w:sz w:val="32"/>
          <w:szCs w:val="32"/>
        </w:rPr>
        <w:t>（类）国土资源事务（款） 事业运行（项）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bCs w:val="0"/>
          <w:color w:val="000000"/>
          <w:sz w:val="32"/>
          <w:szCs w:val="32"/>
          <w:lang w:val="en-US" w:eastAsia="zh-CN"/>
        </w:rPr>
        <w:t>200.96</w:t>
      </w:r>
      <w:r>
        <w:rPr>
          <w:rStyle w:val="13"/>
          <w:rFonts w:hint="eastAsia" w:ascii="仿宋" w:hAnsi="仿宋" w:eastAsia="仿宋"/>
          <w:b w:val="0"/>
          <w:bCs/>
          <w:color w:val="000000"/>
          <w:sz w:val="32"/>
          <w:szCs w:val="32"/>
        </w:rPr>
        <w:t>万元，完成预算</w:t>
      </w:r>
      <w:r>
        <w:rPr>
          <w:rStyle w:val="13"/>
          <w:rFonts w:hint="eastAsia" w:ascii="仿宋" w:hAnsi="仿宋" w:eastAsia="仿宋"/>
          <w:b/>
          <w:bCs w:val="0"/>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p>
    <w:p>
      <w:pPr>
        <w:spacing w:line="600" w:lineRule="exact"/>
        <w:ind w:firstLine="643" w:firstLineChars="200"/>
        <w:rPr>
          <w:rStyle w:val="13"/>
          <w:rFonts w:hint="eastAsia" w:ascii="仿宋" w:hAnsi="仿宋" w:eastAsia="仿宋"/>
          <w:b w:val="0"/>
          <w:bCs/>
          <w:color w:val="000000"/>
          <w:sz w:val="32"/>
          <w:szCs w:val="32"/>
          <w:lang w:eastAsia="zh-CN"/>
        </w:rPr>
      </w:pPr>
      <w:r>
        <w:rPr>
          <w:rStyle w:val="13"/>
          <w:rFonts w:hint="eastAsia" w:ascii="仿宋" w:hAnsi="仿宋" w:eastAsia="仿宋"/>
          <w:bCs/>
          <w:color w:val="000000"/>
          <w:sz w:val="32"/>
          <w:szCs w:val="32"/>
          <w:lang w:val="en-US" w:eastAsia="zh-CN"/>
        </w:rPr>
        <w:t>3</w:t>
      </w:r>
      <w:r>
        <w:rPr>
          <w:rStyle w:val="13"/>
          <w:rFonts w:ascii="仿宋" w:hAnsi="仿宋" w:eastAsia="仿宋"/>
          <w:bCs/>
          <w:color w:val="000000"/>
          <w:sz w:val="32"/>
          <w:szCs w:val="32"/>
        </w:rPr>
        <w:t>.</w:t>
      </w:r>
      <w:r>
        <w:rPr>
          <w:rStyle w:val="13"/>
          <w:rFonts w:hint="eastAsia" w:ascii="仿宋" w:hAnsi="仿宋" w:eastAsia="仿宋"/>
          <w:bCs/>
          <w:color w:val="000000"/>
          <w:sz w:val="32"/>
          <w:szCs w:val="32"/>
        </w:rPr>
        <w:t>社会保障和就业（类）行政事业单位离退休（款） 机关事业单位基本养老保险缴费支出（项）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bCs w:val="0"/>
          <w:color w:val="000000"/>
          <w:sz w:val="32"/>
          <w:szCs w:val="32"/>
          <w:lang w:val="en-US" w:eastAsia="zh-CN"/>
        </w:rPr>
        <w:t>20.51</w:t>
      </w:r>
      <w:r>
        <w:rPr>
          <w:rStyle w:val="13"/>
          <w:rFonts w:hint="eastAsia" w:ascii="仿宋" w:hAnsi="仿宋" w:eastAsia="仿宋"/>
          <w:b w:val="0"/>
          <w:bCs/>
          <w:color w:val="000000"/>
          <w:sz w:val="32"/>
          <w:szCs w:val="32"/>
        </w:rPr>
        <w:t>万元，完成预算</w:t>
      </w:r>
      <w:r>
        <w:rPr>
          <w:rStyle w:val="13"/>
          <w:rFonts w:hint="eastAsia" w:ascii="仿宋" w:hAnsi="仿宋" w:eastAsia="仿宋"/>
          <w:b/>
          <w:bCs w:val="0"/>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p>
    <w:p>
      <w:pPr>
        <w:spacing w:line="600" w:lineRule="exact"/>
        <w:ind w:firstLine="643" w:firstLineChars="200"/>
        <w:rPr>
          <w:rStyle w:val="13"/>
          <w:rFonts w:hint="eastAsia" w:ascii="仿宋" w:hAnsi="仿宋" w:eastAsia="仿宋"/>
          <w:b w:val="0"/>
          <w:bCs/>
          <w:color w:val="000000"/>
          <w:sz w:val="32"/>
          <w:szCs w:val="32"/>
          <w:lang w:eastAsia="zh-CN"/>
        </w:rPr>
      </w:pPr>
      <w:r>
        <w:rPr>
          <w:rStyle w:val="13"/>
          <w:rFonts w:hint="eastAsia" w:ascii="仿宋" w:hAnsi="仿宋" w:eastAsia="仿宋"/>
          <w:bCs/>
          <w:color w:val="000000"/>
          <w:sz w:val="32"/>
          <w:szCs w:val="32"/>
        </w:rPr>
        <w:t>社会保障和就业（类）行政事业单位离退休（款） 机关事业单位职业年金缴费支出（项）</w:t>
      </w:r>
      <w:r>
        <w:rPr>
          <w:rStyle w:val="13"/>
          <w:rFonts w:ascii="仿宋" w:hAnsi="仿宋" w:eastAsia="仿宋"/>
          <w:bCs/>
          <w:color w:val="000000"/>
          <w:sz w:val="32"/>
          <w:szCs w:val="32"/>
        </w:rPr>
        <w:t>:</w:t>
      </w:r>
      <w:r>
        <w:rPr>
          <w:rStyle w:val="13"/>
          <w:rFonts w:ascii="仿宋" w:hAnsi="仿宋" w:eastAsia="仿宋"/>
          <w:b w:val="0"/>
          <w:bCs/>
          <w:color w:val="000000"/>
          <w:sz w:val="32"/>
          <w:szCs w:val="32"/>
        </w:rPr>
        <w:t xml:space="preserve"> </w:t>
      </w:r>
      <w:r>
        <w:rPr>
          <w:rStyle w:val="13"/>
          <w:rFonts w:hint="eastAsia" w:ascii="仿宋" w:hAnsi="仿宋" w:eastAsia="仿宋"/>
          <w:b w:val="0"/>
          <w:bCs/>
          <w:color w:val="000000"/>
          <w:sz w:val="32"/>
          <w:szCs w:val="32"/>
        </w:rPr>
        <w:t>支出决算为</w:t>
      </w:r>
      <w:r>
        <w:rPr>
          <w:rStyle w:val="13"/>
          <w:rFonts w:hint="eastAsia" w:ascii="仿宋" w:hAnsi="仿宋" w:eastAsia="仿宋"/>
          <w:b/>
          <w:bCs w:val="0"/>
          <w:color w:val="000000"/>
          <w:sz w:val="32"/>
          <w:szCs w:val="32"/>
          <w:lang w:val="en-US" w:eastAsia="zh-CN"/>
        </w:rPr>
        <w:t>8.58</w:t>
      </w:r>
      <w:r>
        <w:rPr>
          <w:rStyle w:val="13"/>
          <w:rFonts w:hint="eastAsia" w:ascii="仿宋" w:hAnsi="仿宋" w:eastAsia="仿宋"/>
          <w:b w:val="0"/>
          <w:bCs/>
          <w:color w:val="000000"/>
          <w:sz w:val="32"/>
          <w:szCs w:val="32"/>
        </w:rPr>
        <w:t>万元，完成预算</w:t>
      </w:r>
      <w:r>
        <w:rPr>
          <w:rStyle w:val="13"/>
          <w:rFonts w:hint="eastAsia" w:ascii="仿宋" w:hAnsi="仿宋" w:eastAsia="仿宋"/>
          <w:b/>
          <w:bCs w:val="0"/>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p>
    <w:p>
      <w:pPr>
        <w:numPr>
          <w:ilvl w:val="0"/>
          <w:numId w:val="2"/>
        </w:numPr>
        <w:spacing w:line="600" w:lineRule="exact"/>
        <w:ind w:firstLine="643" w:firstLineChars="200"/>
        <w:rPr>
          <w:rStyle w:val="13"/>
          <w:rFonts w:hint="eastAsia" w:ascii="仿宋" w:hAnsi="仿宋" w:eastAsia="仿宋"/>
          <w:b w:val="0"/>
          <w:bCs/>
          <w:color w:val="000000"/>
          <w:sz w:val="32"/>
          <w:szCs w:val="32"/>
        </w:rPr>
      </w:pPr>
      <w:r>
        <w:rPr>
          <w:rStyle w:val="13"/>
          <w:rFonts w:hint="eastAsia" w:ascii="仿宋" w:hAnsi="仿宋" w:eastAsia="仿宋"/>
          <w:bCs/>
          <w:color w:val="000000"/>
          <w:sz w:val="32"/>
          <w:szCs w:val="32"/>
        </w:rPr>
        <w:t>医疗卫生与计划生育（类） 行政事业单位医疗（款）事业单位医疗（项）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bCs w:val="0"/>
          <w:color w:val="000000"/>
          <w:sz w:val="32"/>
          <w:szCs w:val="32"/>
          <w:lang w:val="en-US" w:eastAsia="zh-CN"/>
        </w:rPr>
        <w:t>9.93</w:t>
      </w:r>
      <w:r>
        <w:rPr>
          <w:rStyle w:val="13"/>
          <w:rFonts w:hint="eastAsia" w:ascii="仿宋" w:hAnsi="仿宋" w:eastAsia="仿宋"/>
          <w:b w:val="0"/>
          <w:bCs/>
          <w:color w:val="000000"/>
          <w:sz w:val="32"/>
          <w:szCs w:val="32"/>
        </w:rPr>
        <w:t>万元，完成预算</w:t>
      </w:r>
      <w:r>
        <w:rPr>
          <w:rStyle w:val="13"/>
          <w:rFonts w:hint="eastAsia" w:ascii="仿宋" w:hAnsi="仿宋" w:eastAsia="仿宋"/>
          <w:b/>
          <w:bCs w:val="0"/>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p>
    <w:p>
      <w:pPr>
        <w:spacing w:line="600" w:lineRule="exact"/>
        <w:ind w:firstLine="643" w:firstLineChars="200"/>
        <w:rPr>
          <w:rStyle w:val="13"/>
          <w:rFonts w:hint="eastAsia" w:ascii="仿宋" w:hAnsi="仿宋" w:eastAsia="仿宋"/>
          <w:b w:val="0"/>
          <w:bCs/>
          <w:color w:val="000000"/>
          <w:sz w:val="32"/>
          <w:szCs w:val="32"/>
          <w:lang w:eastAsia="zh-CN"/>
        </w:rPr>
      </w:pPr>
      <w:r>
        <w:rPr>
          <w:rStyle w:val="13"/>
          <w:rFonts w:hint="eastAsia" w:ascii="仿宋" w:hAnsi="仿宋" w:eastAsia="仿宋"/>
          <w:bCs/>
          <w:color w:val="000000"/>
          <w:sz w:val="32"/>
          <w:szCs w:val="32"/>
        </w:rPr>
        <w:t>医疗卫生与计划生育（类） 行政事业单位医疗（款）其他行政事业单位医疗支出（项）</w:t>
      </w:r>
      <w:r>
        <w:rPr>
          <w:rStyle w:val="13"/>
          <w:rFonts w:ascii="仿宋" w:hAnsi="仿宋" w:eastAsia="仿宋"/>
          <w:bCs/>
          <w:color w:val="000000"/>
          <w:sz w:val="32"/>
          <w:szCs w:val="32"/>
        </w:rPr>
        <w:t>:</w:t>
      </w:r>
      <w:r>
        <w:rPr>
          <w:rStyle w:val="13"/>
          <w:rFonts w:hint="eastAsia" w:ascii="仿宋" w:hAnsi="仿宋" w:eastAsia="仿宋"/>
          <w:b w:val="0"/>
          <w:bCs/>
          <w:color w:val="000000"/>
          <w:sz w:val="32"/>
          <w:szCs w:val="32"/>
        </w:rPr>
        <w:t>支出决算为</w:t>
      </w:r>
      <w:r>
        <w:rPr>
          <w:rStyle w:val="13"/>
          <w:rFonts w:hint="eastAsia" w:ascii="仿宋" w:hAnsi="仿宋" w:eastAsia="仿宋"/>
          <w:b/>
          <w:bCs w:val="0"/>
          <w:color w:val="000000"/>
          <w:sz w:val="32"/>
          <w:szCs w:val="32"/>
          <w:lang w:val="en-US" w:eastAsia="zh-CN"/>
        </w:rPr>
        <w:t>2.07</w:t>
      </w:r>
      <w:r>
        <w:rPr>
          <w:rStyle w:val="13"/>
          <w:rFonts w:hint="eastAsia" w:ascii="仿宋" w:hAnsi="仿宋" w:eastAsia="仿宋"/>
          <w:b w:val="0"/>
          <w:bCs/>
          <w:color w:val="000000"/>
          <w:sz w:val="32"/>
          <w:szCs w:val="32"/>
        </w:rPr>
        <w:t>万元，完成预算</w:t>
      </w:r>
      <w:r>
        <w:rPr>
          <w:rStyle w:val="13"/>
          <w:rFonts w:hint="eastAsia" w:ascii="仿宋" w:hAnsi="仿宋" w:eastAsia="仿宋"/>
          <w:b/>
          <w:bCs w:val="0"/>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lang w:eastAsia="zh-CN"/>
        </w:rPr>
        <w:t>。</w:t>
      </w:r>
    </w:p>
    <w:p>
      <w:pPr>
        <w:tabs>
          <w:tab w:val="right" w:pos="8306"/>
        </w:tabs>
        <w:spacing w:line="600" w:lineRule="exact"/>
        <w:ind w:firstLine="640"/>
        <w:outlineLvl w:val="1"/>
        <w:rPr>
          <w:rStyle w:val="25"/>
        </w:rPr>
      </w:pPr>
      <w:bookmarkStart w:id="40" w:name="_Toc15396608"/>
      <w:bookmarkStart w:id="41" w:name="_Toc15377214"/>
      <w:r>
        <w:rPr>
          <w:rFonts w:hint="eastAsia" w:ascii="黑体" w:eastAsia="黑体"/>
          <w:color w:val="000000"/>
          <w:sz w:val="32"/>
          <w:szCs w:val="32"/>
        </w:rPr>
        <w:t>六</w:t>
      </w:r>
      <w:r>
        <w:rPr>
          <w:rFonts w:hint="eastAsia" w:ascii="黑体" w:eastAsia="黑体"/>
          <w:b/>
          <w:color w:val="000000"/>
          <w:sz w:val="32"/>
          <w:szCs w:val="32"/>
        </w:rPr>
        <w:t>、</w:t>
      </w:r>
      <w:r>
        <w:rPr>
          <w:rFonts w:hint="eastAsia" w:ascii="黑体" w:hAnsi="黑体" w:eastAsia="黑体"/>
          <w:b/>
          <w:color w:val="000000"/>
          <w:sz w:val="32"/>
          <w:szCs w:val="32"/>
        </w:rPr>
        <w:t>一</w:t>
      </w:r>
      <w:r>
        <w:rPr>
          <w:rStyle w:val="25"/>
          <w:rFonts w:hint="eastAsia" w:ascii="黑体" w:hAnsi="黑体" w:eastAsia="黑体"/>
          <w:b w:val="0"/>
        </w:rPr>
        <w:t>般公共预算财政拨款基本支出决算情况说明</w:t>
      </w:r>
      <w:bookmarkEnd w:id="40"/>
      <w:bookmarkEnd w:id="41"/>
      <w:r>
        <w:rPr>
          <w:rStyle w:val="25"/>
          <w:rFonts w:ascii="黑体" w:hAnsi="黑体" w:eastAsia="黑体"/>
          <w:b w:val="0"/>
        </w:rPr>
        <w:tab/>
      </w:r>
    </w:p>
    <w:p>
      <w:pPr>
        <w:spacing w:line="600" w:lineRule="exact"/>
        <w:ind w:firstLine="645"/>
        <w:rPr>
          <w:rFonts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8年一般公共预算财政拨款基本支出</w:t>
      </w:r>
      <w:r>
        <w:rPr>
          <w:rFonts w:hint="eastAsia" w:ascii="仿宋" w:hAnsi="仿宋" w:eastAsia="仿宋"/>
          <w:b/>
          <w:bCs/>
          <w:color w:val="000000"/>
          <w:sz w:val="32"/>
          <w:szCs w:val="32"/>
          <w:lang w:val="en-US" w:eastAsia="zh-CN"/>
        </w:rPr>
        <w:t>260.14</w:t>
      </w:r>
      <w:r>
        <w:rPr>
          <w:rFonts w:hint="eastAsia" w:ascii="仿宋" w:hAnsi="仿宋" w:eastAsia="仿宋"/>
          <w:color w:val="000000"/>
          <w:sz w:val="32"/>
          <w:szCs w:val="32"/>
        </w:rPr>
        <w:t>万元，其中：</w:t>
      </w:r>
    </w:p>
    <w:p>
      <w:pPr>
        <w:spacing w:line="600" w:lineRule="exact"/>
        <w:ind w:firstLine="645"/>
        <w:rPr>
          <w:rFonts w:ascii="仿宋" w:hAnsi="仿宋" w:eastAsia="仿宋"/>
          <w:b/>
          <w:color w:val="FF0000"/>
          <w:sz w:val="32"/>
          <w:szCs w:val="32"/>
        </w:rPr>
      </w:pPr>
      <w:r>
        <w:rPr>
          <w:rFonts w:hint="eastAsia" w:ascii="仿宋" w:hAnsi="仿宋" w:eastAsia="仿宋"/>
          <w:color w:val="000000"/>
          <w:sz w:val="32"/>
          <w:szCs w:val="32"/>
        </w:rPr>
        <w:t>人员经费</w:t>
      </w:r>
      <w:r>
        <w:rPr>
          <w:rFonts w:hint="eastAsia" w:ascii="仿宋" w:hAnsi="仿宋" w:eastAsia="仿宋"/>
          <w:b/>
          <w:bCs/>
          <w:color w:val="000000"/>
          <w:sz w:val="32"/>
          <w:szCs w:val="32"/>
          <w:lang w:val="en-US" w:eastAsia="zh-CN"/>
        </w:rPr>
        <w:t>228.71</w:t>
      </w:r>
      <w:r>
        <w:rPr>
          <w:rFonts w:hint="eastAsia" w:ascii="仿宋" w:hAnsi="仿宋" w:eastAsia="仿宋"/>
          <w:color w:val="000000"/>
          <w:sz w:val="32"/>
          <w:szCs w:val="32"/>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Pr>
          <w:rFonts w:ascii="仿宋" w:hAnsi="仿宋" w:eastAsia="仿宋"/>
          <w:color w:val="000000"/>
          <w:sz w:val="32"/>
          <w:szCs w:val="32"/>
        </w:rPr>
        <w:br w:type="textWrapping"/>
      </w:r>
      <w:r>
        <w:rPr>
          <w:rFonts w:hint="eastAsia" w:ascii="仿宋" w:hAnsi="仿宋" w:eastAsia="仿宋"/>
          <w:color w:val="000000"/>
          <w:sz w:val="32"/>
          <w:szCs w:val="32"/>
        </w:rPr>
        <w:t>　　公用经费</w:t>
      </w:r>
      <w:r>
        <w:rPr>
          <w:rFonts w:hint="eastAsia" w:ascii="仿宋" w:hAnsi="仿宋" w:eastAsia="仿宋"/>
          <w:b/>
          <w:bCs/>
          <w:color w:val="000000"/>
          <w:sz w:val="32"/>
          <w:szCs w:val="32"/>
          <w:lang w:val="en-US" w:eastAsia="zh-CN"/>
        </w:rPr>
        <w:t>31.43</w:t>
      </w:r>
      <w:r>
        <w:rPr>
          <w:rFonts w:hint="eastAsia" w:ascii="仿宋" w:hAnsi="仿宋" w:eastAsia="仿宋"/>
          <w:color w:val="000000"/>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outlineLvl w:val="1"/>
        <w:rPr>
          <w:rStyle w:val="25"/>
          <w:rFonts w:ascii="黑体" w:hAnsi="黑体" w:eastAsia="黑体"/>
          <w:b w:val="0"/>
        </w:rPr>
      </w:pPr>
      <w:bookmarkStart w:id="42" w:name="_Toc15377215"/>
      <w:bookmarkStart w:id="43" w:name="_Toc15396609"/>
      <w:r>
        <w:rPr>
          <w:rFonts w:hint="eastAsia" w:ascii="黑体" w:eastAsia="黑体"/>
          <w:color w:val="000000"/>
          <w:sz w:val="32"/>
          <w:szCs w:val="32"/>
        </w:rPr>
        <w:t>七、</w:t>
      </w:r>
      <w:r>
        <w:rPr>
          <w:rStyle w:val="25"/>
          <w:rFonts w:hint="eastAsia" w:ascii="黑体" w:hAnsi="黑体" w:eastAsia="黑体"/>
        </w:rPr>
        <w:t>“</w:t>
      </w:r>
      <w:r>
        <w:rPr>
          <w:rStyle w:val="25"/>
          <w:rFonts w:hint="eastAsia" w:ascii="黑体" w:hAnsi="黑体" w:eastAsia="黑体"/>
          <w:b w:val="0"/>
        </w:rPr>
        <w:t>三公”经费财政拨款支出决算情况说明</w:t>
      </w:r>
      <w:bookmarkEnd w:id="42"/>
      <w:bookmarkEnd w:id="43"/>
    </w:p>
    <w:p>
      <w:pPr>
        <w:spacing w:line="600" w:lineRule="exact"/>
        <w:ind w:firstLine="640"/>
        <w:outlineLvl w:val="2"/>
        <w:rPr>
          <w:rFonts w:ascii="仿宋" w:hAnsi="仿宋" w:eastAsia="仿宋"/>
          <w:b/>
          <w:color w:val="000000"/>
          <w:sz w:val="32"/>
          <w:szCs w:val="32"/>
        </w:rPr>
      </w:pPr>
      <w:bookmarkStart w:id="44" w:name="_Toc15377216"/>
      <w:r>
        <w:rPr>
          <w:rFonts w:hint="eastAsia" w:ascii="仿宋" w:hAnsi="仿宋" w:eastAsia="仿宋"/>
          <w:b/>
          <w:color w:val="000000"/>
          <w:sz w:val="32"/>
          <w:szCs w:val="32"/>
        </w:rPr>
        <w:t>（一）“三公”经费财政拨款支出决算总体情况说明</w:t>
      </w:r>
      <w:bookmarkEnd w:id="44"/>
    </w:p>
    <w:p>
      <w:pPr>
        <w:spacing w:line="600" w:lineRule="exact"/>
        <w:ind w:firstLine="640"/>
        <w:rPr>
          <w:rFonts w:ascii="仿宋" w:hAnsi="仿宋" w:eastAsia="仿宋"/>
          <w:b/>
          <w:color w:val="000000" w:themeColor="text1"/>
          <w:sz w:val="32"/>
          <w:szCs w:val="32"/>
          <w14:textFill>
            <w14:solidFill>
              <w14:schemeClr w14:val="tx1"/>
            </w14:solidFill>
          </w14:textFill>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8年“三公”经费财政拨款支出决算为</w:t>
      </w:r>
      <w:r>
        <w:rPr>
          <w:rFonts w:hint="eastAsia" w:ascii="仿宋" w:hAnsi="仿宋" w:eastAsia="仿宋"/>
          <w:b/>
          <w:bCs/>
          <w:color w:val="000000"/>
          <w:sz w:val="32"/>
          <w:szCs w:val="32"/>
        </w:rPr>
        <w:t>0.6</w:t>
      </w:r>
      <w:r>
        <w:rPr>
          <w:rFonts w:hint="eastAsia" w:ascii="仿宋" w:hAnsi="仿宋" w:eastAsia="仿宋"/>
          <w:color w:val="000000"/>
          <w:sz w:val="32"/>
          <w:szCs w:val="32"/>
        </w:rPr>
        <w:t>万元，完成预算</w:t>
      </w:r>
      <w:r>
        <w:rPr>
          <w:rFonts w:hint="eastAsia" w:ascii="仿宋" w:hAnsi="仿宋" w:eastAsia="仿宋"/>
          <w:b/>
          <w:bCs/>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，主要原因是：2018年新增单位。</w:t>
      </w:r>
    </w:p>
    <w:p>
      <w:pPr>
        <w:spacing w:line="600" w:lineRule="exact"/>
        <w:ind w:firstLine="640"/>
        <w:outlineLvl w:val="2"/>
        <w:rPr>
          <w:rFonts w:ascii="仿宋" w:hAnsi="仿宋" w:eastAsia="仿宋"/>
          <w:b/>
          <w:color w:val="000000"/>
          <w:sz w:val="32"/>
          <w:szCs w:val="32"/>
        </w:rPr>
      </w:pPr>
      <w:bookmarkStart w:id="45" w:name="_Toc15377217"/>
      <w:r>
        <w:rPr>
          <w:rFonts w:hint="eastAsia" w:ascii="仿宋" w:hAnsi="仿宋" w:eastAsia="仿宋"/>
          <w:b/>
          <w:color w:val="000000"/>
          <w:sz w:val="32"/>
          <w:szCs w:val="32"/>
        </w:rPr>
        <w:t>（二）“三公”经费财政拨款支出决算具体情况说明</w:t>
      </w:r>
      <w:bookmarkEnd w:id="45"/>
    </w:p>
    <w:p>
      <w:pPr>
        <w:spacing w:line="600" w:lineRule="exact"/>
        <w:ind w:firstLine="640"/>
        <w:rPr>
          <w:rFonts w:hint="eastAsia" w:ascii="仿宋" w:hAnsi="仿宋" w:eastAsia="仿宋"/>
          <w:color w:val="000000"/>
          <w:sz w:val="32"/>
          <w:szCs w:val="32"/>
        </w:rPr>
      </w:pPr>
      <w:r>
        <w:rPr>
          <w:rFonts w:ascii="仿宋" w:hAnsi="仿宋" w:eastAsia="仿宋"/>
          <w:color w:val="000000"/>
          <w:sz w:val="32"/>
          <w:szCs w:val="32"/>
        </w:rPr>
        <w:t>201</w:t>
      </w:r>
      <w:r>
        <w:rPr>
          <w:rFonts w:hint="eastAsia" w:ascii="仿宋" w:hAnsi="仿宋" w:eastAsia="仿宋"/>
          <w:color w:val="000000"/>
          <w:sz w:val="32"/>
          <w:szCs w:val="32"/>
        </w:rPr>
        <w:t>8年“三公”经费财政拨款支出决算中，因公出国（境）费支出决算</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；公务用车购置及运行维护费支出决算</w:t>
      </w:r>
      <w:r>
        <w:rPr>
          <w:rFonts w:hint="eastAsia" w:ascii="仿宋" w:hAnsi="仿宋" w:eastAsia="仿宋"/>
          <w:b/>
          <w:bCs/>
          <w:color w:val="000000"/>
          <w:sz w:val="32"/>
          <w:szCs w:val="32"/>
          <w:lang w:val="en-US" w:eastAsia="zh-CN"/>
        </w:rPr>
        <w:t>0</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0</w:t>
      </w:r>
      <w:r>
        <w:rPr>
          <w:rFonts w:ascii="仿宋" w:hAnsi="仿宋" w:eastAsia="仿宋"/>
          <w:color w:val="000000"/>
          <w:sz w:val="32"/>
          <w:szCs w:val="32"/>
        </w:rPr>
        <w:t>%</w:t>
      </w:r>
      <w:r>
        <w:rPr>
          <w:rFonts w:hint="eastAsia" w:ascii="仿宋" w:hAnsi="仿宋" w:eastAsia="仿宋"/>
          <w:color w:val="000000"/>
          <w:sz w:val="32"/>
          <w:szCs w:val="32"/>
        </w:rPr>
        <w:t>；公务接待费支出决算</w:t>
      </w:r>
      <w:r>
        <w:rPr>
          <w:rFonts w:hint="eastAsia" w:ascii="仿宋" w:hAnsi="仿宋" w:eastAsia="仿宋"/>
          <w:b/>
          <w:bCs/>
          <w:color w:val="000000"/>
          <w:sz w:val="32"/>
          <w:szCs w:val="32"/>
          <w:lang w:val="en-US" w:eastAsia="zh-CN"/>
        </w:rPr>
        <w:t>0.6</w:t>
      </w:r>
      <w:r>
        <w:rPr>
          <w:rFonts w:hint="eastAsia" w:ascii="仿宋" w:hAnsi="仿宋" w:eastAsia="仿宋"/>
          <w:color w:val="000000"/>
          <w:sz w:val="32"/>
          <w:szCs w:val="32"/>
        </w:rPr>
        <w:t>万元，占</w:t>
      </w:r>
      <w:r>
        <w:rPr>
          <w:rFonts w:hint="eastAsia" w:ascii="仿宋" w:hAnsi="仿宋" w:eastAsia="仿宋"/>
          <w:b/>
          <w:bCs/>
          <w:color w:val="000000"/>
          <w:sz w:val="32"/>
          <w:szCs w:val="32"/>
          <w:lang w:val="en-US" w:eastAsia="zh-CN"/>
        </w:rPr>
        <w:t>100</w:t>
      </w:r>
      <w:r>
        <w:rPr>
          <w:rFonts w:ascii="仿宋" w:hAnsi="仿宋" w:eastAsia="仿宋"/>
          <w:color w:val="000000"/>
          <w:sz w:val="32"/>
          <w:szCs w:val="32"/>
        </w:rPr>
        <w:t>%</w:t>
      </w:r>
      <w:r>
        <w:rPr>
          <w:rFonts w:hint="eastAsia" w:ascii="仿宋" w:hAnsi="仿宋" w:eastAsia="仿宋"/>
          <w:color w:val="000000"/>
          <w:sz w:val="32"/>
          <w:szCs w:val="32"/>
        </w:rPr>
        <w:t>。具体情况如下：</w:t>
      </w:r>
      <w:r>
        <w:rPr>
          <w:rFonts w:hint="eastAsia" w:ascii="仿宋" w:hAnsi="仿宋" w:eastAsia="仿宋"/>
          <w:color w:val="000000"/>
          <w:sz w:val="32"/>
          <w:szCs w:val="32"/>
          <w:lang w:eastAsia="zh-CN"/>
        </w:rPr>
        <w:drawing>
          <wp:anchor distT="0" distB="0" distL="114300" distR="114300" simplePos="0" relativeHeight="251682816" behindDoc="0" locked="0" layoutInCell="1" allowOverlap="1">
            <wp:simplePos x="0" y="0"/>
            <wp:positionH relativeFrom="column">
              <wp:posOffset>766445</wp:posOffset>
            </wp:positionH>
            <wp:positionV relativeFrom="paragraph">
              <wp:posOffset>241935</wp:posOffset>
            </wp:positionV>
            <wp:extent cx="4071620" cy="2667000"/>
            <wp:effectExtent l="4445" t="4445" r="19685" b="14605"/>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p>
    <w:p>
      <w:pPr>
        <w:numPr>
          <w:ilvl w:val="0"/>
          <w:numId w:val="3"/>
        </w:numPr>
        <w:spacing w:line="600" w:lineRule="exact"/>
        <w:ind w:firstLine="640"/>
        <w:rPr>
          <w:rFonts w:hint="eastAsia" w:ascii="仿宋_GB2312" w:eastAsia="仿宋_GB2312"/>
          <w:color w:val="000000"/>
          <w:sz w:val="32"/>
          <w:szCs w:val="32"/>
        </w:rPr>
      </w:pPr>
      <w:r>
        <w:rPr>
          <w:rFonts w:hint="eastAsia" w:ascii="仿宋_GB2312" w:eastAsia="仿宋_GB2312"/>
          <w:b/>
          <w:color w:val="000000"/>
          <w:sz w:val="32"/>
          <w:szCs w:val="32"/>
        </w:rPr>
        <w:t>因公出国（境）经费支出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万元，全年安排因公出国（境）团组</w:t>
      </w:r>
      <w:r>
        <w:rPr>
          <w:rFonts w:hint="eastAsia" w:ascii="仿宋_GB2312" w:eastAsia="仿宋_GB2312"/>
          <w:b/>
          <w:bCs/>
          <w:color w:val="000000"/>
          <w:sz w:val="32"/>
          <w:szCs w:val="32"/>
          <w:lang w:val="en-US" w:eastAsia="zh-CN"/>
        </w:rPr>
        <w:t>0</w:t>
      </w:r>
      <w:r>
        <w:rPr>
          <w:rFonts w:hint="eastAsia" w:ascii="仿宋_GB2312" w:eastAsia="仿宋_GB2312"/>
          <w:color w:val="000000"/>
          <w:sz w:val="32"/>
          <w:szCs w:val="32"/>
        </w:rPr>
        <w:t>次，出国（境）</w:t>
      </w:r>
      <w:r>
        <w:rPr>
          <w:rFonts w:hint="eastAsia" w:ascii="仿宋_GB2312" w:eastAsia="仿宋_GB2312"/>
          <w:b/>
          <w:bCs/>
          <w:color w:val="000000"/>
          <w:sz w:val="32"/>
          <w:szCs w:val="32"/>
          <w:lang w:val="en-US" w:eastAsia="zh-CN"/>
        </w:rPr>
        <w:t>0</w:t>
      </w:r>
      <w:r>
        <w:rPr>
          <w:rFonts w:hint="eastAsia" w:ascii="仿宋_GB2312" w:eastAsia="仿宋_GB2312"/>
          <w:color w:val="000000"/>
          <w:sz w:val="32"/>
          <w:szCs w:val="32"/>
        </w:rPr>
        <w:t>人。</w:t>
      </w:r>
    </w:p>
    <w:p>
      <w:pPr>
        <w:spacing w:line="600" w:lineRule="exact"/>
        <w:ind w:firstLine="640"/>
        <w:rPr>
          <w:rFonts w:hint="eastAsia" w:ascii="仿宋_GB2312" w:eastAsia="仿宋_GB2312"/>
          <w:b/>
          <w:color w:val="000000"/>
          <w:sz w:val="32"/>
          <w:szCs w:val="32"/>
          <w:lang w:eastAsia="zh-CN"/>
        </w:rPr>
      </w:pPr>
      <w:r>
        <w:rPr>
          <w:rFonts w:ascii="仿宋_GB2312" w:eastAsia="仿宋_GB2312"/>
          <w:b/>
          <w:color w:val="000000"/>
          <w:sz w:val="32"/>
          <w:szCs w:val="32"/>
        </w:rPr>
        <w:t>2.</w:t>
      </w:r>
      <w:r>
        <w:rPr>
          <w:rFonts w:hint="eastAsia" w:ascii="仿宋_GB2312" w:eastAsia="仿宋_GB2312"/>
          <w:b/>
          <w:color w:val="000000"/>
          <w:sz w:val="32"/>
          <w:szCs w:val="32"/>
          <w:highlight w:val="none"/>
        </w:rPr>
        <w:t>公务</w:t>
      </w:r>
      <w:r>
        <w:rPr>
          <w:rFonts w:hint="eastAsia" w:ascii="仿宋_GB2312" w:eastAsia="仿宋_GB2312"/>
          <w:b/>
          <w:color w:val="000000"/>
          <w:sz w:val="32"/>
          <w:szCs w:val="32"/>
        </w:rPr>
        <w:t>用车购置及运行维护费支出</w:t>
      </w:r>
      <w:r>
        <w:rPr>
          <w:rFonts w:hint="eastAsia" w:ascii="仿宋_GB2312" w:eastAsia="仿宋_GB2312"/>
          <w:b/>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spacing w:line="600" w:lineRule="exact"/>
        <w:ind w:firstLine="640"/>
        <w:rPr>
          <w:rFonts w:hint="eastAsia" w:ascii="仿宋_GB2312" w:eastAsia="仿宋"/>
          <w:color w:val="000000"/>
          <w:sz w:val="32"/>
          <w:szCs w:val="32"/>
          <w:lang w:val="en-US" w:eastAsia="zh-CN"/>
        </w:rPr>
      </w:pPr>
      <w:r>
        <w:rPr>
          <w:rFonts w:ascii="仿宋_GB2312" w:eastAsia="仿宋_GB2312"/>
          <w:b/>
          <w:color w:val="000000"/>
          <w:sz w:val="32"/>
          <w:szCs w:val="32"/>
        </w:rPr>
        <w:t>3.</w:t>
      </w:r>
      <w:r>
        <w:rPr>
          <w:rFonts w:hint="eastAsia" w:ascii="仿宋_GB2312" w:eastAsia="仿宋_GB2312"/>
          <w:b/>
          <w:color w:val="000000"/>
          <w:sz w:val="32"/>
          <w:szCs w:val="32"/>
        </w:rPr>
        <w:t>公务接待费支出</w:t>
      </w:r>
      <w:r>
        <w:rPr>
          <w:rFonts w:hint="eastAsia" w:ascii="仿宋_GB2312" w:eastAsia="仿宋_GB2312"/>
          <w:b/>
          <w:bCs/>
          <w:color w:val="000000"/>
          <w:sz w:val="32"/>
          <w:szCs w:val="32"/>
          <w:lang w:val="en-US" w:eastAsia="zh-CN"/>
        </w:rPr>
        <w:t>0.6</w:t>
      </w:r>
      <w:r>
        <w:rPr>
          <w:rFonts w:hint="eastAsia" w:ascii="仿宋_GB2312" w:eastAsia="仿宋_GB2312"/>
          <w:color w:val="000000"/>
          <w:sz w:val="32"/>
          <w:szCs w:val="32"/>
        </w:rPr>
        <w:t>万元，</w:t>
      </w:r>
      <w:r>
        <w:rPr>
          <w:rStyle w:val="13"/>
          <w:rFonts w:hint="eastAsia" w:ascii="仿宋" w:hAnsi="仿宋" w:eastAsia="仿宋"/>
          <w:b w:val="0"/>
          <w:bCs/>
          <w:color w:val="000000"/>
          <w:sz w:val="32"/>
          <w:szCs w:val="32"/>
        </w:rPr>
        <w:t>完成预算</w:t>
      </w:r>
      <w:r>
        <w:rPr>
          <w:rStyle w:val="13"/>
          <w:rFonts w:hint="eastAsia" w:ascii="仿宋" w:hAnsi="仿宋" w:eastAsia="仿宋"/>
          <w:b/>
          <w:bCs w:val="0"/>
          <w:color w:val="000000"/>
          <w:sz w:val="32"/>
          <w:szCs w:val="32"/>
          <w:lang w:val="en-US" w:eastAsia="zh-CN"/>
        </w:rPr>
        <w:t>100</w:t>
      </w:r>
      <w:r>
        <w:rPr>
          <w:rStyle w:val="13"/>
          <w:rFonts w:ascii="仿宋" w:hAnsi="仿宋" w:eastAsia="仿宋"/>
          <w:b w:val="0"/>
          <w:bCs/>
          <w:color w:val="000000"/>
          <w:sz w:val="32"/>
          <w:szCs w:val="32"/>
        </w:rPr>
        <w:t>%</w:t>
      </w:r>
      <w:r>
        <w:rPr>
          <w:rStyle w:val="13"/>
          <w:rFonts w:hint="eastAsia" w:ascii="仿宋" w:hAnsi="仿宋" w:eastAsia="仿宋"/>
          <w:b w:val="0"/>
          <w:bCs/>
          <w:color w:val="000000"/>
          <w:sz w:val="32"/>
          <w:szCs w:val="32"/>
        </w:rPr>
        <w:t>。</w:t>
      </w:r>
      <w:r>
        <w:rPr>
          <w:rFonts w:hint="eastAsia" w:ascii="仿宋_GB2312" w:eastAsia="仿宋_GB2312"/>
          <w:color w:val="000000"/>
          <w:sz w:val="32"/>
          <w:szCs w:val="32"/>
        </w:rPr>
        <w:t>公务接待费支出决算比</w:t>
      </w:r>
      <w:r>
        <w:rPr>
          <w:rFonts w:ascii="仿宋_GB2312" w:eastAsia="仿宋_GB2312"/>
          <w:color w:val="000000"/>
          <w:sz w:val="32"/>
          <w:szCs w:val="32"/>
        </w:rPr>
        <w:t>201</w:t>
      </w:r>
      <w:r>
        <w:rPr>
          <w:rFonts w:hint="eastAsia" w:ascii="仿宋_GB2312" w:eastAsia="仿宋_GB2312"/>
          <w:color w:val="000000"/>
          <w:sz w:val="32"/>
          <w:szCs w:val="32"/>
        </w:rPr>
        <w:t>7年增加</w:t>
      </w:r>
      <w:r>
        <w:rPr>
          <w:rFonts w:hint="eastAsia" w:ascii="仿宋_GB2312" w:eastAsia="仿宋_GB2312"/>
          <w:b/>
          <w:bCs/>
          <w:color w:val="000000"/>
          <w:sz w:val="32"/>
          <w:szCs w:val="32"/>
          <w:lang w:val="en-US" w:eastAsia="zh-CN"/>
        </w:rPr>
        <w:t>0.6</w:t>
      </w:r>
      <w:r>
        <w:rPr>
          <w:rFonts w:hint="eastAsia" w:ascii="仿宋_GB2312" w:eastAsia="仿宋_GB2312"/>
          <w:color w:val="000000"/>
          <w:sz w:val="32"/>
          <w:szCs w:val="32"/>
        </w:rPr>
        <w:t>万元，增长</w:t>
      </w:r>
      <w:r>
        <w:rPr>
          <w:rFonts w:hint="eastAsia" w:ascii="仿宋_GB2312" w:eastAsia="仿宋_GB2312"/>
          <w:b/>
          <w:bCs/>
          <w:color w:val="000000"/>
          <w:sz w:val="32"/>
          <w:szCs w:val="32"/>
          <w:lang w:val="en-US" w:eastAsia="zh-CN"/>
        </w:rPr>
        <w:t>100</w:t>
      </w:r>
      <w:r>
        <w:rPr>
          <w:rFonts w:ascii="仿宋_GB2312" w:eastAsia="仿宋_GB2312"/>
          <w:color w:val="000000"/>
          <w:sz w:val="32"/>
          <w:szCs w:val="32"/>
        </w:rPr>
        <w:t>%</w:t>
      </w:r>
      <w:r>
        <w:rPr>
          <w:rFonts w:hint="eastAsia" w:ascii="仿宋_GB2312" w:eastAsia="仿宋_GB2312"/>
          <w:color w:val="000000"/>
          <w:sz w:val="32"/>
          <w:szCs w:val="32"/>
        </w:rPr>
        <w:t>。主要原因</w:t>
      </w:r>
      <w:r>
        <w:rPr>
          <w:rFonts w:hint="eastAsia" w:ascii="仿宋_GB2312" w:eastAsia="仿宋_GB2312"/>
          <w:color w:val="000000"/>
          <w:sz w:val="32"/>
          <w:szCs w:val="32"/>
          <w:lang w:val="en-US" w:eastAsia="zh-CN"/>
        </w:rPr>
        <w:t>是</w:t>
      </w:r>
      <w:r>
        <w:rPr>
          <w:rFonts w:hint="eastAsia" w:ascii="仿宋" w:hAnsi="仿宋" w:eastAsia="仿宋"/>
          <w:color w:val="000000"/>
          <w:sz w:val="32"/>
          <w:szCs w:val="32"/>
        </w:rPr>
        <w:t>2018年新增单位</w:t>
      </w:r>
      <w:r>
        <w:rPr>
          <w:rFonts w:hint="eastAsia" w:ascii="仿宋" w:hAnsi="仿宋" w:eastAsia="仿宋"/>
          <w:color w:val="000000"/>
          <w:sz w:val="32"/>
          <w:szCs w:val="32"/>
          <w:lang w:eastAsia="zh-CN"/>
        </w:rPr>
        <w:t>。</w:t>
      </w:r>
    </w:p>
    <w:p>
      <w:pPr>
        <w:spacing w:line="600" w:lineRule="exact"/>
        <w:ind w:firstLine="640" w:firstLineChars="200"/>
        <w:rPr>
          <w:rFonts w:ascii="黑体" w:eastAsia="黑体"/>
          <w:color w:val="000000"/>
          <w:sz w:val="32"/>
          <w:szCs w:val="32"/>
        </w:rPr>
      </w:pPr>
      <w:r>
        <w:rPr>
          <w:rFonts w:hint="eastAsia" w:ascii="仿宋_GB2312" w:eastAsia="仿宋_GB2312"/>
          <w:color w:val="000000"/>
          <w:sz w:val="32"/>
          <w:szCs w:val="32"/>
        </w:rPr>
        <w:t>主要用于执行公务、开展业务活动开支的交通费、住宿费、用餐费等。国内公务接待</w:t>
      </w:r>
      <w:r>
        <w:rPr>
          <w:rFonts w:hint="eastAsia" w:ascii="仿宋_GB2312" w:eastAsia="仿宋_GB2312"/>
          <w:color w:val="000000"/>
          <w:sz w:val="32"/>
          <w:szCs w:val="32"/>
          <w:lang w:val="en-US" w:eastAsia="zh-CN"/>
        </w:rPr>
        <w:t>2</w:t>
      </w:r>
      <w:r>
        <w:rPr>
          <w:rFonts w:hint="eastAsia" w:ascii="仿宋_GB2312" w:eastAsia="仿宋_GB2312"/>
          <w:b/>
          <w:bCs/>
          <w:color w:val="000000"/>
          <w:sz w:val="32"/>
          <w:szCs w:val="32"/>
          <w:lang w:val="en-US" w:eastAsia="zh-CN"/>
        </w:rPr>
        <w:t>1</w:t>
      </w:r>
      <w:r>
        <w:rPr>
          <w:rFonts w:hint="eastAsia" w:ascii="仿宋_GB2312" w:eastAsia="仿宋_GB2312"/>
          <w:color w:val="000000"/>
          <w:sz w:val="32"/>
          <w:szCs w:val="32"/>
        </w:rPr>
        <w:t>批次，国内公务接待</w:t>
      </w:r>
      <w:r>
        <w:rPr>
          <w:rFonts w:hint="eastAsia" w:ascii="仿宋_GB2312" w:eastAsia="仿宋_GB2312"/>
          <w:color w:val="000000"/>
          <w:sz w:val="32"/>
          <w:szCs w:val="32"/>
          <w:lang w:val="en-US" w:eastAsia="zh-CN"/>
        </w:rPr>
        <w:t>23人，</w:t>
      </w:r>
      <w:r>
        <w:rPr>
          <w:rFonts w:hint="eastAsia" w:ascii="仿宋_GB2312" w:eastAsia="仿宋_GB2312"/>
          <w:color w:val="000000"/>
          <w:sz w:val="32"/>
          <w:szCs w:val="32"/>
        </w:rPr>
        <w:t>共计支出</w:t>
      </w:r>
      <w:r>
        <w:rPr>
          <w:rFonts w:hint="eastAsia" w:ascii="仿宋_GB2312" w:eastAsia="仿宋_GB2312"/>
          <w:b/>
          <w:bCs/>
          <w:color w:val="000000"/>
          <w:sz w:val="32"/>
          <w:szCs w:val="32"/>
          <w:lang w:val="en-US" w:eastAsia="zh-CN"/>
        </w:rPr>
        <w:t>0.6</w:t>
      </w:r>
      <w:r>
        <w:rPr>
          <w:rFonts w:hint="eastAsia" w:ascii="仿宋_GB2312" w:eastAsia="仿宋_GB2312"/>
          <w:color w:val="000000"/>
          <w:sz w:val="32"/>
          <w:szCs w:val="32"/>
        </w:rPr>
        <w:t>万元，</w:t>
      </w:r>
      <w:bookmarkStart w:id="46" w:name="_Toc15396610"/>
      <w:bookmarkStart w:id="47" w:name="_Toc15377218"/>
    </w:p>
    <w:p>
      <w:pPr>
        <w:spacing w:line="600" w:lineRule="exact"/>
        <w:ind w:firstLine="640"/>
        <w:outlineLvl w:val="1"/>
        <w:rPr>
          <w:rStyle w:val="25"/>
          <w:rFonts w:ascii="黑体" w:hAnsi="黑体" w:eastAsia="黑体"/>
        </w:rPr>
      </w:pPr>
      <w:r>
        <w:rPr>
          <w:rFonts w:hint="eastAsia" w:ascii="黑体" w:eastAsia="黑体"/>
          <w:color w:val="000000"/>
          <w:sz w:val="32"/>
          <w:szCs w:val="32"/>
        </w:rPr>
        <w:t>八、</w:t>
      </w:r>
      <w:r>
        <w:rPr>
          <w:rStyle w:val="25"/>
          <w:rFonts w:hint="eastAsia" w:ascii="黑体" w:hAnsi="黑体" w:eastAsia="黑体"/>
          <w:b w:val="0"/>
        </w:rPr>
        <w:t>政府性基金预算支出决算情况说明</w:t>
      </w:r>
      <w:bookmarkEnd w:id="46"/>
      <w:bookmarkEnd w:id="47"/>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8年政府性基金预算拨款支出</w:t>
      </w:r>
      <w:r>
        <w:rPr>
          <w:rFonts w:hint="eastAsia" w:ascii="仿宋_GB2312" w:eastAsia="仿宋_GB2312"/>
          <w:b/>
          <w:bCs/>
          <w:color w:val="000000"/>
          <w:sz w:val="32"/>
          <w:szCs w:val="32"/>
          <w:lang w:val="en-US" w:eastAsia="zh-CN"/>
        </w:rPr>
        <w:t>0</w:t>
      </w:r>
      <w:r>
        <w:rPr>
          <w:rFonts w:hint="eastAsia" w:ascii="仿宋_GB2312" w:eastAsia="仿宋_GB2312"/>
          <w:color w:val="000000"/>
          <w:sz w:val="32"/>
          <w:szCs w:val="32"/>
        </w:rPr>
        <w:t>万元。</w:t>
      </w:r>
    </w:p>
    <w:p>
      <w:pPr>
        <w:numPr>
          <w:ilvl w:val="0"/>
          <w:numId w:val="4"/>
        </w:numPr>
        <w:spacing w:line="600" w:lineRule="exact"/>
        <w:ind w:firstLine="640"/>
        <w:outlineLvl w:val="1"/>
        <w:rPr>
          <w:rStyle w:val="25"/>
          <w:rFonts w:ascii="黑体" w:hAnsi="黑体" w:eastAsia="黑体"/>
          <w:b w:val="0"/>
        </w:rPr>
      </w:pPr>
      <w:bookmarkStart w:id="48" w:name="_Toc15377219"/>
      <w:bookmarkStart w:id="49" w:name="_Toc15396611"/>
      <w:r>
        <w:rPr>
          <w:rStyle w:val="25"/>
          <w:rFonts w:hint="eastAsia" w:ascii="黑体" w:hAnsi="黑体" w:eastAsia="黑体"/>
          <w:b w:val="0"/>
        </w:rPr>
        <w:t>国有资本经营预算支出决算情况说明</w:t>
      </w:r>
      <w:bookmarkEnd w:id="48"/>
      <w:bookmarkEnd w:id="49"/>
    </w:p>
    <w:p>
      <w:pPr>
        <w:spacing w:line="600" w:lineRule="exact"/>
        <w:ind w:firstLine="640"/>
        <w:rPr>
          <w:rFonts w:ascii="仿宋_GB2312" w:eastAsia="仿宋_GB2312"/>
          <w:color w:val="000000"/>
          <w:sz w:val="32"/>
          <w:szCs w:val="32"/>
        </w:rPr>
      </w:pPr>
      <w:r>
        <w:rPr>
          <w:rFonts w:ascii="仿宋_GB2312" w:eastAsia="仿宋_GB2312"/>
          <w:color w:val="000000"/>
          <w:sz w:val="32"/>
          <w:szCs w:val="32"/>
        </w:rPr>
        <w:t>201</w:t>
      </w:r>
      <w:r>
        <w:rPr>
          <w:rFonts w:hint="eastAsia" w:ascii="仿宋_GB2312" w:eastAsia="仿宋_GB2312"/>
          <w:color w:val="000000"/>
          <w:sz w:val="32"/>
          <w:szCs w:val="32"/>
        </w:rPr>
        <w:t>8年国有资本经营预算拨款支出</w:t>
      </w:r>
      <w:r>
        <w:rPr>
          <w:rFonts w:hint="eastAsia" w:ascii="仿宋_GB2312" w:eastAsia="仿宋_GB2312"/>
          <w:b/>
          <w:bCs/>
          <w:color w:val="000000"/>
          <w:sz w:val="32"/>
          <w:szCs w:val="32"/>
          <w:lang w:val="en-US" w:eastAsia="zh-CN"/>
        </w:rPr>
        <w:t>0</w:t>
      </w:r>
      <w:r>
        <w:rPr>
          <w:rFonts w:hint="eastAsia" w:ascii="仿宋_GB2312" w:eastAsia="仿宋_GB2312"/>
          <w:color w:val="000000"/>
          <w:sz w:val="32"/>
          <w:szCs w:val="32"/>
        </w:rPr>
        <w:t>万元。</w:t>
      </w:r>
    </w:p>
    <w:p>
      <w:pPr>
        <w:pStyle w:val="23"/>
        <w:numPr>
          <w:ilvl w:val="0"/>
          <w:numId w:val="5"/>
        </w:numPr>
        <w:spacing w:line="580" w:lineRule="exact"/>
        <w:ind w:firstLineChars="0"/>
        <w:rPr>
          <w:rStyle w:val="25"/>
          <w:rFonts w:ascii="黑体" w:hAnsi="黑体" w:eastAsia="黑体"/>
          <w:b w:val="0"/>
        </w:rPr>
      </w:pPr>
      <w:r>
        <w:rPr>
          <w:rStyle w:val="25"/>
          <w:rFonts w:hint="eastAsia" w:ascii="黑体" w:hAnsi="黑体" w:eastAsia="黑体"/>
          <w:b w:val="0"/>
        </w:rPr>
        <w:t>预算绩效情况说明</w:t>
      </w:r>
    </w:p>
    <w:p>
      <w:pPr>
        <w:pStyle w:val="23"/>
        <w:numPr>
          <w:ilvl w:val="0"/>
          <w:numId w:val="0"/>
        </w:numPr>
        <w:spacing w:line="580" w:lineRule="exact"/>
        <w:ind w:left="709" w:leftChars="0"/>
        <w:rPr>
          <w:rStyle w:val="25"/>
          <w:rFonts w:hint="eastAsia" w:ascii="黑体" w:hAnsi="黑体" w:eastAsia="黑体"/>
          <w:b w:val="0"/>
          <w:lang w:val="en-US" w:eastAsia="zh-CN"/>
        </w:rPr>
      </w:pPr>
      <w:r>
        <w:rPr>
          <w:rStyle w:val="25"/>
          <w:rFonts w:hint="eastAsia" w:ascii="黑体" w:hAnsi="黑体" w:eastAsia="黑体"/>
          <w:b w:val="0"/>
          <w:lang w:val="en-US" w:eastAsia="zh-CN"/>
        </w:rPr>
        <w:t xml:space="preserve">          </w:t>
      </w:r>
      <w:r>
        <w:rPr>
          <w:rStyle w:val="25"/>
          <w:rFonts w:hint="eastAsia" w:ascii="黑体" w:hAnsi="黑体" w:eastAsia="黑体"/>
          <w:b w:val="0"/>
          <w:bCs/>
          <w:lang w:val="en-US" w:eastAsia="zh-CN"/>
        </w:rPr>
        <w:t xml:space="preserve"> </w:t>
      </w:r>
      <w:r>
        <w:rPr>
          <w:rFonts w:hint="eastAsia" w:ascii="仿宋_GB2312" w:hAnsi="Times New Roman" w:eastAsia="仿宋_GB2312" w:cs="Times New Roman"/>
          <w:color w:val="000000"/>
          <w:kern w:val="2"/>
          <w:sz w:val="32"/>
          <w:szCs w:val="32"/>
          <w:lang w:val="en-US" w:eastAsia="zh-CN" w:bidi="ar-SA"/>
        </w:rPr>
        <w:t>无项目</w:t>
      </w:r>
    </w:p>
    <w:p>
      <w:pPr>
        <w:spacing w:line="600" w:lineRule="exact"/>
        <w:ind w:firstLine="800" w:firstLineChars="250"/>
        <w:outlineLvl w:val="1"/>
        <w:rPr>
          <w:rStyle w:val="25"/>
          <w:rFonts w:ascii="黑体" w:hAnsi="黑体" w:eastAsia="黑体"/>
        </w:rPr>
      </w:pPr>
      <w:bookmarkStart w:id="50" w:name="_Toc15377221"/>
      <w:bookmarkStart w:id="51" w:name="_Toc15396612"/>
      <w:r>
        <w:rPr>
          <w:rFonts w:hint="eastAsia" w:ascii="黑体" w:hAnsi="黑体" w:eastAsia="黑体"/>
          <w:color w:val="000000"/>
          <w:sz w:val="32"/>
          <w:szCs w:val="32"/>
        </w:rPr>
        <w:t>十</w:t>
      </w:r>
      <w:r>
        <w:rPr>
          <w:rStyle w:val="25"/>
          <w:rFonts w:hint="eastAsia" w:ascii="黑体" w:hAnsi="黑体" w:eastAsia="黑体"/>
        </w:rPr>
        <w:t>一、</w:t>
      </w:r>
      <w:r>
        <w:rPr>
          <w:rStyle w:val="25"/>
          <w:rFonts w:hint="eastAsia" w:ascii="黑体" w:hAnsi="黑体" w:eastAsia="黑体"/>
          <w:b w:val="0"/>
        </w:rPr>
        <w:t>其他重要事项的情况说明</w:t>
      </w:r>
      <w:bookmarkEnd w:id="50"/>
      <w:bookmarkEnd w:id="51"/>
    </w:p>
    <w:p>
      <w:pPr>
        <w:spacing w:line="600" w:lineRule="exact"/>
        <w:ind w:firstLine="643" w:firstLineChars="200"/>
        <w:outlineLvl w:val="2"/>
        <w:rPr>
          <w:rFonts w:ascii="仿宋" w:hAnsi="仿宋" w:eastAsia="仿宋"/>
          <w:color w:val="000000"/>
          <w:sz w:val="32"/>
          <w:szCs w:val="32"/>
        </w:rPr>
      </w:pPr>
      <w:bookmarkStart w:id="52" w:name="_Toc15377222"/>
      <w:r>
        <w:rPr>
          <w:rFonts w:hint="eastAsia" w:ascii="仿宋" w:hAnsi="仿宋" w:eastAsia="仿宋"/>
          <w:b/>
          <w:color w:val="000000"/>
          <w:sz w:val="32"/>
          <w:szCs w:val="32"/>
        </w:rPr>
        <w:t>（一）机关运行经费支出情况</w:t>
      </w:r>
      <w:bookmarkEnd w:id="52"/>
    </w:p>
    <w:p>
      <w:pPr>
        <w:spacing w:line="600" w:lineRule="exact"/>
        <w:ind w:firstLine="640" w:firstLineChars="200"/>
        <w:rPr>
          <w:rFonts w:hint="eastAsia" w:ascii="仿宋_GB2312" w:eastAsia="仿宋_GB2312"/>
          <w:color w:val="000000" w:themeColor="text1"/>
          <w:sz w:val="32"/>
          <w:szCs w:val="32"/>
          <w:lang w:eastAsia="zh-CN"/>
          <w14:textFill>
            <w14:solidFill>
              <w14:schemeClr w14:val="tx1"/>
            </w14:solidFill>
          </w14:textFill>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b/>
          <w:bCs/>
          <w:color w:val="000000"/>
          <w:sz w:val="32"/>
          <w:szCs w:val="32"/>
        </w:rPr>
        <w:t>阿坝州地质环境监测站和阿坝州不动产登记中心</w:t>
      </w:r>
      <w:r>
        <w:rPr>
          <w:rFonts w:hint="eastAsia" w:ascii="仿宋_GB2312" w:eastAsia="仿宋_GB2312"/>
          <w:color w:val="000000"/>
          <w:sz w:val="32"/>
          <w:szCs w:val="32"/>
        </w:rPr>
        <w:t>机关运行经费支出</w:t>
      </w:r>
      <w:r>
        <w:rPr>
          <w:rFonts w:hint="eastAsia" w:ascii="仿宋_GB2312" w:eastAsia="仿宋_GB2312"/>
          <w:b/>
          <w:bCs/>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3" w:name="_Toc15377223"/>
      <w:r>
        <w:rPr>
          <w:rFonts w:hint="eastAsia" w:ascii="仿宋" w:hAnsi="仿宋" w:eastAsia="仿宋"/>
          <w:b/>
          <w:color w:val="000000"/>
          <w:sz w:val="32"/>
          <w:szCs w:val="32"/>
        </w:rPr>
        <w:t>（二）政府采购支出情况</w:t>
      </w:r>
      <w:bookmarkEnd w:id="53"/>
    </w:p>
    <w:p>
      <w:pPr>
        <w:spacing w:line="600" w:lineRule="exact"/>
        <w:ind w:firstLine="640" w:firstLineChars="200"/>
        <w:rPr>
          <w:rFonts w:hint="eastAsia" w:ascii="仿宋_GB2312" w:eastAsia="仿宋_GB2312"/>
          <w:color w:val="000000"/>
          <w:sz w:val="32"/>
          <w:szCs w:val="32"/>
          <w:lang w:eastAsia="zh-CN"/>
        </w:rPr>
      </w:pPr>
      <w:r>
        <w:rPr>
          <w:rFonts w:ascii="仿宋_GB2312" w:eastAsia="仿宋_GB2312"/>
          <w:color w:val="000000"/>
          <w:sz w:val="32"/>
          <w:szCs w:val="32"/>
        </w:rPr>
        <w:t>201</w:t>
      </w:r>
      <w:r>
        <w:rPr>
          <w:rFonts w:hint="eastAsia" w:ascii="仿宋_GB2312" w:eastAsia="仿宋_GB2312"/>
          <w:color w:val="000000"/>
          <w:sz w:val="32"/>
          <w:szCs w:val="32"/>
        </w:rPr>
        <w:t>8年，</w:t>
      </w:r>
      <w:r>
        <w:rPr>
          <w:rFonts w:hint="eastAsia" w:ascii="仿宋_GB2312" w:eastAsia="仿宋_GB2312"/>
          <w:b/>
          <w:bCs/>
          <w:color w:val="000000"/>
          <w:sz w:val="32"/>
          <w:szCs w:val="32"/>
        </w:rPr>
        <w:t>阿坝州地质环境监测站和阿坝州不动产登记中心</w:t>
      </w:r>
      <w:r>
        <w:rPr>
          <w:rFonts w:hint="eastAsia" w:ascii="仿宋_GB2312" w:eastAsia="仿宋_GB2312"/>
          <w:color w:val="000000"/>
          <w:sz w:val="32"/>
          <w:szCs w:val="32"/>
        </w:rPr>
        <w:t>政府采购支出总额</w:t>
      </w:r>
      <w:r>
        <w:rPr>
          <w:rFonts w:hint="eastAsia" w:ascii="仿宋_GB2312" w:eastAsia="仿宋_GB2312"/>
          <w:b/>
          <w:bCs/>
          <w:color w:val="000000"/>
          <w:sz w:val="32"/>
          <w:szCs w:val="32"/>
          <w:lang w:val="en-US" w:eastAsia="zh-CN"/>
        </w:rPr>
        <w:t>0</w:t>
      </w:r>
      <w:r>
        <w:rPr>
          <w:rFonts w:hint="eastAsia" w:ascii="仿宋_GB2312" w:eastAsia="仿宋_GB2312"/>
          <w:color w:val="000000"/>
          <w:sz w:val="32"/>
          <w:szCs w:val="32"/>
        </w:rPr>
        <w:t>万元</w:t>
      </w:r>
      <w:r>
        <w:rPr>
          <w:rFonts w:hint="eastAsia" w:ascii="仿宋_GB2312" w:eastAsia="仿宋_GB2312"/>
          <w:color w:val="000000"/>
          <w:sz w:val="32"/>
          <w:szCs w:val="32"/>
          <w:lang w:eastAsia="zh-CN"/>
        </w:rPr>
        <w:t>。</w:t>
      </w:r>
    </w:p>
    <w:p>
      <w:pPr>
        <w:autoSpaceDE w:val="0"/>
        <w:autoSpaceDN w:val="0"/>
        <w:adjustRightInd w:val="0"/>
        <w:spacing w:line="600" w:lineRule="exact"/>
        <w:ind w:firstLine="643" w:firstLineChars="200"/>
        <w:jc w:val="left"/>
        <w:outlineLvl w:val="2"/>
        <w:rPr>
          <w:rFonts w:ascii="仿宋" w:hAnsi="仿宋" w:eastAsia="仿宋"/>
          <w:b/>
          <w:color w:val="000000"/>
          <w:sz w:val="32"/>
          <w:szCs w:val="32"/>
        </w:rPr>
      </w:pPr>
      <w:bookmarkStart w:id="54" w:name="_Toc15377224"/>
      <w:r>
        <w:rPr>
          <w:rFonts w:hint="eastAsia" w:ascii="仿宋" w:hAnsi="仿宋" w:eastAsia="仿宋"/>
          <w:b/>
          <w:color w:val="000000"/>
          <w:sz w:val="32"/>
          <w:szCs w:val="32"/>
        </w:rPr>
        <w:t>（三）国有资产占有使用情况</w:t>
      </w:r>
      <w:bookmarkEnd w:id="54"/>
    </w:p>
    <w:p>
      <w:pPr>
        <w:autoSpaceDE w:val="0"/>
        <w:autoSpaceDN w:val="0"/>
        <w:adjustRightInd w:val="0"/>
        <w:spacing w:line="600" w:lineRule="exact"/>
        <w:ind w:firstLine="640" w:firstLineChars="200"/>
        <w:jc w:val="left"/>
        <w:rPr>
          <w:rFonts w:hint="eastAsia" w:ascii="仿宋_GB2312" w:eastAsia="仿宋_GB2312"/>
          <w:color w:val="000000"/>
          <w:sz w:val="32"/>
          <w:szCs w:val="32"/>
          <w:lang w:eastAsia="zh-CN"/>
        </w:rPr>
      </w:pPr>
      <w:r>
        <w:rPr>
          <w:rFonts w:hint="eastAsia" w:ascii="仿宋_GB2312" w:eastAsia="仿宋_GB2312"/>
          <w:color w:val="000000"/>
          <w:sz w:val="32"/>
          <w:szCs w:val="32"/>
        </w:rPr>
        <w:t>截至</w:t>
      </w:r>
      <w:r>
        <w:rPr>
          <w:rFonts w:ascii="仿宋_GB2312" w:eastAsia="仿宋_GB2312"/>
          <w:color w:val="000000"/>
          <w:sz w:val="32"/>
          <w:szCs w:val="32"/>
        </w:rPr>
        <w:t>201</w:t>
      </w:r>
      <w:r>
        <w:rPr>
          <w:rFonts w:hint="eastAsia" w:ascii="仿宋_GB2312" w:eastAsia="仿宋_GB2312"/>
          <w:color w:val="000000"/>
          <w:sz w:val="32"/>
          <w:szCs w:val="32"/>
        </w:rPr>
        <w:t>8年</w:t>
      </w:r>
      <w:r>
        <w:rPr>
          <w:rFonts w:ascii="仿宋_GB2312" w:eastAsia="仿宋_GB2312"/>
          <w:color w:val="000000"/>
          <w:sz w:val="32"/>
          <w:szCs w:val="32"/>
        </w:rPr>
        <w:t>12</w:t>
      </w:r>
      <w:r>
        <w:rPr>
          <w:rFonts w:hint="eastAsia" w:ascii="仿宋_GB2312" w:eastAsia="仿宋_GB2312"/>
          <w:color w:val="000000"/>
          <w:sz w:val="32"/>
          <w:szCs w:val="32"/>
        </w:rPr>
        <w:t>月</w:t>
      </w:r>
      <w:r>
        <w:rPr>
          <w:rFonts w:ascii="仿宋_GB2312" w:eastAsia="仿宋_GB2312"/>
          <w:color w:val="000000"/>
          <w:sz w:val="32"/>
          <w:szCs w:val="32"/>
        </w:rPr>
        <w:t>31</w:t>
      </w:r>
      <w:r>
        <w:rPr>
          <w:rFonts w:hint="eastAsia" w:ascii="仿宋_GB2312" w:eastAsia="仿宋_GB2312"/>
          <w:color w:val="000000"/>
          <w:sz w:val="32"/>
          <w:szCs w:val="32"/>
        </w:rPr>
        <w:t>日，</w:t>
      </w:r>
      <w:r>
        <w:rPr>
          <w:rFonts w:hint="eastAsia" w:ascii="仿宋_GB2312" w:eastAsia="仿宋_GB2312"/>
          <w:b/>
          <w:bCs/>
          <w:color w:val="000000"/>
          <w:sz w:val="32"/>
          <w:szCs w:val="32"/>
        </w:rPr>
        <w:t>阿坝州地质环境监测站和阿坝州不动产登记中心</w:t>
      </w:r>
      <w:r>
        <w:rPr>
          <w:rFonts w:hint="eastAsia" w:ascii="仿宋_GB2312" w:eastAsia="仿宋_GB2312"/>
          <w:color w:val="000000"/>
          <w:sz w:val="32"/>
          <w:szCs w:val="32"/>
        </w:rPr>
        <w:t>共有车辆</w:t>
      </w:r>
      <w:r>
        <w:rPr>
          <w:rFonts w:hint="eastAsia" w:ascii="仿宋_GB2312" w:eastAsia="仿宋_GB2312"/>
          <w:b/>
          <w:bCs/>
          <w:color w:val="000000"/>
          <w:sz w:val="32"/>
          <w:szCs w:val="32"/>
          <w:lang w:val="en-US" w:eastAsia="zh-CN"/>
        </w:rPr>
        <w:t>0</w:t>
      </w:r>
      <w:r>
        <w:rPr>
          <w:rFonts w:hint="eastAsia" w:ascii="仿宋_GB2312" w:eastAsia="仿宋_GB2312"/>
          <w:color w:val="000000"/>
          <w:sz w:val="32"/>
          <w:szCs w:val="32"/>
        </w:rPr>
        <w:t>辆</w:t>
      </w:r>
      <w:r>
        <w:rPr>
          <w:rFonts w:hint="eastAsia" w:ascii="仿宋_GB2312" w:eastAsia="仿宋_GB2312"/>
          <w:color w:val="000000"/>
          <w:sz w:val="32"/>
          <w:szCs w:val="32"/>
          <w:lang w:eastAsia="zh-CN"/>
        </w:rPr>
        <w:t>。</w:t>
      </w:r>
    </w:p>
    <w:p>
      <w:pPr>
        <w:widowControl/>
        <w:jc w:val="left"/>
        <w:rPr>
          <w:rFonts w:ascii="仿宋_GB2312" w:eastAsia="仿宋_GB2312"/>
          <w:b/>
          <w:color w:val="000000"/>
          <w:sz w:val="32"/>
          <w:szCs w:val="32"/>
        </w:rPr>
      </w:pPr>
      <w:r>
        <w:rPr>
          <w:rFonts w:ascii="仿宋_GB2312" w:eastAsia="仿宋_GB2312"/>
          <w:b/>
          <w:color w:val="000000"/>
          <w:sz w:val="32"/>
          <w:szCs w:val="32"/>
        </w:rPr>
        <w:br w:type="page"/>
      </w:r>
    </w:p>
    <w:p>
      <w:pPr>
        <w:numPr>
          <w:ilvl w:val="0"/>
          <w:numId w:val="6"/>
        </w:numPr>
        <w:spacing w:line="600" w:lineRule="exact"/>
        <w:ind w:firstLine="663" w:firstLineChars="150"/>
        <w:jc w:val="center"/>
        <w:outlineLvl w:val="0"/>
        <w:rPr>
          <w:rStyle w:val="24"/>
          <w:rFonts w:ascii="黑体" w:hAnsi="黑体" w:eastAsia="黑体"/>
          <w:b w:val="0"/>
        </w:rPr>
      </w:pPr>
      <w:bookmarkStart w:id="55" w:name="_Toc15396613"/>
      <w:bookmarkStart w:id="56" w:name="_Toc15377225"/>
      <w:r>
        <w:rPr>
          <w:rFonts w:hint="eastAsia" w:ascii="黑体" w:hAnsi="黑体" w:eastAsia="黑体"/>
          <w:b/>
          <w:color w:val="000000"/>
          <w:sz w:val="44"/>
          <w:szCs w:val="44"/>
        </w:rPr>
        <w:t>名</w:t>
      </w:r>
      <w:r>
        <w:rPr>
          <w:rStyle w:val="24"/>
          <w:rFonts w:hint="eastAsia" w:ascii="黑体" w:hAnsi="黑体" w:eastAsia="黑体"/>
          <w:b w:val="0"/>
        </w:rPr>
        <w:t>词解释</w:t>
      </w:r>
      <w:bookmarkEnd w:id="55"/>
      <w:bookmarkEnd w:id="56"/>
    </w:p>
    <w:p>
      <w:pPr>
        <w:spacing w:line="600" w:lineRule="exact"/>
        <w:jc w:val="left"/>
        <w:rPr>
          <w:rFonts w:ascii="宋体"/>
          <w:b/>
          <w:color w:val="000000"/>
          <w:sz w:val="44"/>
          <w:szCs w:val="44"/>
        </w:rPr>
      </w:pPr>
    </w:p>
    <w:p>
      <w:pPr>
        <w:pStyle w:val="22"/>
        <w:spacing w:line="560" w:lineRule="exact"/>
        <w:ind w:firstLine="640" w:firstLineChars="200"/>
        <w:rPr>
          <w:rFonts w:ascii="仿宋_GB2312" w:eastAsia="仿宋_GB2312"/>
          <w:sz w:val="32"/>
          <w:szCs w:val="32"/>
        </w:rPr>
      </w:pPr>
      <w:r>
        <w:rPr>
          <w:rFonts w:ascii="仿宋_GB2312" w:eastAsia="仿宋_GB2312"/>
          <w:sz w:val="32"/>
          <w:szCs w:val="32"/>
        </w:rPr>
        <w:t>1.</w:t>
      </w:r>
      <w:r>
        <w:rPr>
          <w:rFonts w:hint="eastAsia" w:ascii="仿宋_GB2312" w:eastAsia="仿宋_GB2312"/>
          <w:sz w:val="32"/>
          <w:szCs w:val="32"/>
        </w:rPr>
        <w:t>财政拨款收入：指</w:t>
      </w:r>
      <w:r>
        <w:rPr>
          <w:rFonts w:hint="eastAsia" w:ascii="仿宋_GB2312" w:eastAsia="仿宋_GB2312"/>
          <w:sz w:val="32"/>
          <w:szCs w:val="32"/>
          <w:lang w:val="en-US" w:eastAsia="zh-CN"/>
        </w:rPr>
        <w:t>我</w:t>
      </w:r>
      <w:r>
        <w:rPr>
          <w:rFonts w:hint="eastAsia" w:ascii="仿宋_GB2312" w:eastAsia="仿宋_GB2312"/>
          <w:sz w:val="32"/>
          <w:szCs w:val="32"/>
        </w:rPr>
        <w:t>单位从同级财政部门取得的财政预算资金。</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2.</w:t>
      </w:r>
      <w:r>
        <w:rPr>
          <w:rFonts w:hint="eastAsia" w:ascii="仿宋_GB2312" w:eastAsia="仿宋_GB2312"/>
          <w:sz w:val="32"/>
          <w:szCs w:val="32"/>
        </w:rPr>
        <w:t>事业收入：指</w:t>
      </w:r>
      <w:r>
        <w:rPr>
          <w:rFonts w:hint="eastAsia" w:ascii="仿宋_GB2312" w:eastAsia="仿宋_GB2312"/>
          <w:sz w:val="32"/>
          <w:szCs w:val="32"/>
          <w:lang w:val="en-US" w:eastAsia="zh-CN"/>
        </w:rPr>
        <w:t>我</w:t>
      </w:r>
      <w:r>
        <w:rPr>
          <w:rFonts w:hint="eastAsia" w:ascii="仿宋_GB2312" w:eastAsia="仿宋_GB2312"/>
          <w:sz w:val="32"/>
          <w:szCs w:val="32"/>
        </w:rPr>
        <w:t>单位开展专业业务活动及辅助活动取得的收入。</w:t>
      </w:r>
    </w:p>
    <w:p>
      <w:pPr>
        <w:pStyle w:val="22"/>
        <w:spacing w:line="560" w:lineRule="exact"/>
        <w:ind w:firstLine="640" w:firstLineChars="200"/>
        <w:rPr>
          <w:rFonts w:hint="eastAsia" w:ascii="仿宋_GB2312" w:eastAsia="仿宋_GB2312"/>
          <w:sz w:val="32"/>
          <w:szCs w:val="32"/>
        </w:rPr>
      </w:pPr>
      <w:r>
        <w:rPr>
          <w:rFonts w:ascii="仿宋_GB2312" w:eastAsia="仿宋_GB2312"/>
          <w:sz w:val="32"/>
          <w:szCs w:val="32"/>
        </w:rPr>
        <w:t>3.</w:t>
      </w:r>
      <w:r>
        <w:rPr>
          <w:rFonts w:hint="eastAsia" w:ascii="仿宋_GB2312" w:eastAsia="仿宋_GB2312"/>
          <w:sz w:val="32"/>
          <w:szCs w:val="32"/>
        </w:rPr>
        <w:t>经营收入：指事业单位在专业业务活动及其辅助活动之外开展非独立核算经营活动取得的收入。</w:t>
      </w:r>
    </w:p>
    <w:p>
      <w:pPr>
        <w:pStyle w:val="22"/>
        <w:spacing w:line="560" w:lineRule="exact"/>
        <w:ind w:firstLine="640" w:firstLineChars="200"/>
        <w:rPr>
          <w:rFonts w:ascii="仿宋_GB2312" w:eastAsia="仿宋_GB2312"/>
          <w:sz w:val="32"/>
          <w:szCs w:val="32"/>
        </w:rPr>
      </w:pPr>
      <w:r>
        <w:rPr>
          <w:rFonts w:ascii="仿宋_GB2312" w:eastAsia="仿宋_GB2312"/>
          <w:sz w:val="32"/>
          <w:szCs w:val="32"/>
        </w:rPr>
        <w:t>4.</w:t>
      </w:r>
      <w:r>
        <w:rPr>
          <w:rFonts w:hint="eastAsia" w:ascii="仿宋_GB2312" w:eastAsia="仿宋_GB2312"/>
          <w:sz w:val="32"/>
          <w:szCs w:val="32"/>
        </w:rPr>
        <w:t>其他收入：指单位取得的除上述收入以外的各项收入。</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5</w:t>
      </w:r>
      <w:r>
        <w:rPr>
          <w:rFonts w:ascii="仿宋_GB2312" w:eastAsia="仿宋_GB2312"/>
          <w:sz w:val="32"/>
          <w:szCs w:val="32"/>
        </w:rPr>
        <w:t>.</w:t>
      </w:r>
      <w:r>
        <w:rPr>
          <w:rFonts w:hint="eastAsia" w:ascii="仿宋_GB2312" w:eastAsia="仿宋_GB2312"/>
          <w:sz w:val="32"/>
          <w:szCs w:val="32"/>
        </w:rPr>
        <w:t>年初结转和结余：指以前年度尚未完成、结转到本年按有关规定继续使用的资金。</w:t>
      </w:r>
      <w:r>
        <w:rPr>
          <w:rFonts w:ascii="仿宋_GB2312" w:eastAsia="仿宋_GB2312"/>
          <w:sz w:val="32"/>
          <w:szCs w:val="32"/>
        </w:rPr>
        <w:t xml:space="preserve"> </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6</w:t>
      </w:r>
      <w:r>
        <w:rPr>
          <w:rFonts w:ascii="仿宋_GB2312" w:eastAsia="仿宋_GB2312"/>
          <w:sz w:val="32"/>
          <w:szCs w:val="32"/>
        </w:rPr>
        <w:t>.</w:t>
      </w:r>
      <w:r>
        <w:rPr>
          <w:rFonts w:hint="eastAsia" w:ascii="仿宋_GB2312" w:eastAsia="仿宋_GB2312"/>
          <w:sz w:val="32"/>
          <w:szCs w:val="32"/>
        </w:rPr>
        <w:t>结余分配：指</w:t>
      </w:r>
      <w:r>
        <w:rPr>
          <w:rFonts w:hint="eastAsia" w:ascii="仿宋_GB2312" w:eastAsia="仿宋_GB2312"/>
          <w:sz w:val="32"/>
          <w:szCs w:val="32"/>
          <w:lang w:val="en-US" w:eastAsia="zh-CN"/>
        </w:rPr>
        <w:t>我</w:t>
      </w:r>
      <w:r>
        <w:rPr>
          <w:rFonts w:hint="eastAsia" w:ascii="仿宋_GB2312" w:eastAsia="仿宋_GB2312"/>
          <w:sz w:val="32"/>
          <w:szCs w:val="32"/>
        </w:rPr>
        <w:t>单位按照事业单位会计制度的规定从非财政补助结余中分配的事业基金和职工福利基金等。</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7</w:t>
      </w:r>
      <w:r>
        <w:rPr>
          <w:rFonts w:hint="eastAsia" w:ascii="仿宋_GB2312" w:eastAsia="仿宋_GB2312"/>
          <w:sz w:val="32"/>
          <w:szCs w:val="32"/>
        </w:rPr>
        <w:t>、年末结转和结余：指</w:t>
      </w:r>
      <w:r>
        <w:rPr>
          <w:rFonts w:hint="eastAsia" w:ascii="仿宋_GB2312" w:eastAsia="仿宋_GB2312"/>
          <w:sz w:val="32"/>
          <w:szCs w:val="32"/>
          <w:lang w:val="en-US" w:eastAsia="zh-CN"/>
        </w:rPr>
        <w:t>我</w:t>
      </w:r>
      <w:r>
        <w:rPr>
          <w:rFonts w:hint="eastAsia" w:ascii="仿宋_GB2312" w:eastAsia="仿宋_GB2312"/>
          <w:sz w:val="32"/>
          <w:szCs w:val="32"/>
        </w:rPr>
        <w:t>单位按有关规定结转到下年或以后年度继续使用的资金。</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8、</w:t>
      </w:r>
      <w:r>
        <w:rPr>
          <w:rFonts w:hint="eastAsia" w:ascii="仿宋_GB2312" w:eastAsia="仿宋_GB2312"/>
          <w:color w:val="000000"/>
          <w:sz w:val="32"/>
          <w:szCs w:val="32"/>
        </w:rPr>
        <w:t>国土海洋气象等支出（类）国土资源事务（款）事业运行（项）：指</w:t>
      </w:r>
      <w:r>
        <w:rPr>
          <w:rFonts w:hint="eastAsia" w:ascii="仿宋_GB2312" w:eastAsia="仿宋_GB2312"/>
          <w:color w:val="000000"/>
          <w:sz w:val="32"/>
          <w:szCs w:val="32"/>
          <w:lang w:val="en-US" w:eastAsia="zh-CN"/>
        </w:rPr>
        <w:t>我单位用于国土资源、海洋、测绘、地震、气象等方面的事业运行支出。</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lang w:val="en-US" w:eastAsia="zh-CN"/>
        </w:rPr>
        <w:t>9、</w:t>
      </w:r>
      <w:r>
        <w:rPr>
          <w:rFonts w:hint="eastAsia" w:ascii="仿宋_GB2312" w:eastAsia="仿宋_GB2312"/>
          <w:color w:val="000000"/>
          <w:sz w:val="32"/>
          <w:szCs w:val="32"/>
        </w:rPr>
        <w:t>社会保障和就业（类）行政事业单位离退休（款）机关事业单位基本养老保险缴费支出（项）：指</w:t>
      </w:r>
      <w:r>
        <w:rPr>
          <w:rFonts w:hint="eastAsia" w:ascii="仿宋_GB2312" w:eastAsia="仿宋_GB2312"/>
          <w:color w:val="000000"/>
          <w:sz w:val="32"/>
          <w:szCs w:val="32"/>
          <w:lang w:val="en-US" w:eastAsia="zh-CN"/>
        </w:rPr>
        <w:t>用于我单位在职人员缴纳基本养老保险</w:t>
      </w:r>
      <w:r>
        <w:rPr>
          <w:rFonts w:hint="eastAsia" w:ascii="仿宋_GB2312" w:eastAsia="仿宋_GB2312"/>
          <w:color w:val="000000"/>
          <w:sz w:val="32"/>
          <w:szCs w:val="32"/>
        </w:rPr>
        <w:t>。</w:t>
      </w:r>
    </w:p>
    <w:p>
      <w:pPr>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社会保障和就业（类）行政事业单位离退休（款）机关事业单位职业年金缴费支出（项）：指</w:t>
      </w:r>
      <w:r>
        <w:rPr>
          <w:rFonts w:hint="eastAsia" w:ascii="仿宋_GB2312" w:eastAsia="仿宋_GB2312"/>
          <w:color w:val="000000"/>
          <w:sz w:val="32"/>
          <w:szCs w:val="32"/>
          <w:lang w:val="en-US" w:eastAsia="zh-CN"/>
        </w:rPr>
        <w:t>用于我单位在职人员缴纳职业年金</w:t>
      </w:r>
      <w:r>
        <w:rPr>
          <w:rFonts w:hint="eastAsia" w:ascii="仿宋_GB2312" w:eastAsia="仿宋_GB2312"/>
          <w:color w:val="000000"/>
          <w:sz w:val="32"/>
          <w:szCs w:val="32"/>
        </w:rPr>
        <w:t>。</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lang w:val="en-US" w:eastAsia="zh-CN"/>
        </w:rPr>
        <w:t>10、</w:t>
      </w:r>
      <w:r>
        <w:rPr>
          <w:rFonts w:hint="eastAsia" w:ascii="仿宋_GB2312" w:eastAsia="仿宋_GB2312"/>
          <w:color w:val="000000"/>
          <w:sz w:val="32"/>
          <w:szCs w:val="32"/>
        </w:rPr>
        <w:t>医疗卫生与计划生育（类）行政事业单位医疗（款）事业单位医疗（项）：指</w:t>
      </w:r>
      <w:r>
        <w:rPr>
          <w:rFonts w:hint="eastAsia" w:ascii="仿宋_GB2312" w:eastAsia="仿宋_GB2312"/>
          <w:color w:val="000000"/>
          <w:sz w:val="32"/>
          <w:szCs w:val="32"/>
          <w:lang w:val="en-US" w:eastAsia="zh-CN"/>
        </w:rPr>
        <w:t>我单位按照国家政策规定用于基本医疗保险缴费。</w:t>
      </w:r>
    </w:p>
    <w:p>
      <w:pPr>
        <w:keepNext w:val="0"/>
        <w:keepLines w:val="0"/>
        <w:pageBreakBefore w:val="0"/>
        <w:widowControl w:val="0"/>
        <w:numPr>
          <w:ilvl w:val="0"/>
          <w:numId w:val="0"/>
        </w:numPr>
        <w:kinsoku/>
        <w:wordWrap/>
        <w:overflowPunct/>
        <w:topLinePunct w:val="0"/>
        <w:autoSpaceDE/>
        <w:autoSpaceDN/>
        <w:bidi w:val="0"/>
        <w:adjustRightInd/>
        <w:snapToGrid/>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医疗卫生与计划生育（类）行政事业单位医疗（款）其他行政事业单位医疗支出（项）：指</w:t>
      </w:r>
      <w:r>
        <w:rPr>
          <w:rFonts w:hint="eastAsia" w:ascii="仿宋_GB2312" w:eastAsia="仿宋_GB2312"/>
          <w:color w:val="000000"/>
          <w:sz w:val="32"/>
          <w:szCs w:val="32"/>
          <w:lang w:val="en-US" w:eastAsia="zh-CN"/>
        </w:rPr>
        <w:t>我单位按照国家政策规定用于其他医疗保险缴费。</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11、</w:t>
      </w:r>
      <w:r>
        <w:rPr>
          <w:rFonts w:hint="eastAsia" w:ascii="仿宋_GB2312" w:eastAsia="仿宋_GB2312"/>
          <w:color w:val="000000"/>
          <w:sz w:val="32"/>
          <w:szCs w:val="32"/>
        </w:rPr>
        <w:t>住房保障（类）住房改革支出（款）住房公积金（项）：指</w:t>
      </w:r>
      <w:r>
        <w:rPr>
          <w:rFonts w:hint="eastAsia" w:ascii="仿宋_GB2312" w:eastAsia="仿宋_GB2312"/>
          <w:color w:val="000000"/>
          <w:sz w:val="32"/>
          <w:szCs w:val="32"/>
          <w:lang w:val="en-US" w:eastAsia="zh-CN"/>
        </w:rPr>
        <w:t>我单位按照国家政策规定用于住房公积金支出</w:t>
      </w:r>
      <w:r>
        <w:rPr>
          <w:rFonts w:hint="eastAsia" w:ascii="仿宋_GB2312" w:eastAsia="仿宋_GB2312"/>
          <w:color w:val="000000"/>
          <w:sz w:val="32"/>
          <w:szCs w:val="32"/>
        </w:rPr>
        <w:t>。</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12、</w:t>
      </w:r>
      <w:r>
        <w:rPr>
          <w:rFonts w:hint="eastAsia" w:ascii="仿宋_GB2312" w:eastAsia="仿宋_GB2312"/>
          <w:color w:val="000000"/>
          <w:sz w:val="32"/>
          <w:szCs w:val="32"/>
        </w:rPr>
        <w:t>基本支出：指为保障机构正常运转、完成日常工作任务而发生的人员支出和公用支出。</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13、</w:t>
      </w:r>
      <w:r>
        <w:rPr>
          <w:rFonts w:hint="eastAsia" w:ascii="仿宋_GB2312" w:eastAsia="仿宋_GB2312"/>
          <w:color w:val="000000"/>
          <w:sz w:val="32"/>
          <w:szCs w:val="32"/>
        </w:rPr>
        <w:t>项目支出：指在基本支出之外为完成特定行政任务和事业发展目标所发生的支出。</w:t>
      </w:r>
      <w:r>
        <w:rPr>
          <w:rFonts w:ascii="仿宋_GB2312" w:eastAsia="仿宋_GB2312"/>
          <w:color w:val="000000"/>
          <w:sz w:val="32"/>
          <w:szCs w:val="32"/>
        </w:rPr>
        <w:t xml:space="preserve"> </w:t>
      </w:r>
    </w:p>
    <w:p>
      <w:pPr>
        <w:ind w:firstLine="640" w:firstLineChars="200"/>
        <w:rPr>
          <w:rFonts w:ascii="仿宋_GB2312" w:eastAsia="仿宋_GB2312"/>
          <w:color w:val="000000"/>
          <w:sz w:val="32"/>
          <w:szCs w:val="32"/>
        </w:rPr>
      </w:pPr>
      <w:r>
        <w:rPr>
          <w:rFonts w:hint="eastAsia" w:ascii="仿宋_GB2312" w:eastAsia="仿宋_GB2312"/>
          <w:color w:val="000000"/>
          <w:sz w:val="32"/>
          <w:szCs w:val="32"/>
          <w:lang w:val="en-US" w:eastAsia="zh-CN"/>
        </w:rPr>
        <w:t>14、</w:t>
      </w:r>
      <w:r>
        <w:rPr>
          <w:rFonts w:hint="eastAsia" w:ascii="仿宋_GB2312" w:eastAsia="仿宋_GB2312"/>
          <w:color w:val="000000"/>
          <w:sz w:val="32"/>
          <w:szCs w:val="32"/>
        </w:rPr>
        <w:t>经营支出：指</w:t>
      </w:r>
      <w:r>
        <w:rPr>
          <w:rFonts w:hint="eastAsia" w:ascii="仿宋_GB2312" w:eastAsia="仿宋_GB2312"/>
          <w:color w:val="000000"/>
          <w:sz w:val="32"/>
          <w:szCs w:val="32"/>
          <w:lang w:val="en-US" w:eastAsia="zh-CN"/>
        </w:rPr>
        <w:t>我</w:t>
      </w:r>
      <w:r>
        <w:rPr>
          <w:rFonts w:hint="eastAsia" w:ascii="仿宋_GB2312" w:eastAsia="仿宋_GB2312"/>
          <w:color w:val="000000"/>
          <w:sz w:val="32"/>
          <w:szCs w:val="32"/>
        </w:rPr>
        <w:t>单位在专业业务活动及其辅助活动之外开展非独立核算经营活动发生的支出。</w:t>
      </w:r>
    </w:p>
    <w:p>
      <w:pPr>
        <w:pStyle w:val="22"/>
        <w:spacing w:line="560" w:lineRule="exact"/>
        <w:ind w:firstLine="640" w:firstLineChars="200"/>
        <w:rPr>
          <w:rFonts w:ascii="仿宋_GB2312" w:eastAsia="仿宋_GB2312"/>
          <w:sz w:val="32"/>
          <w:szCs w:val="32"/>
        </w:rPr>
      </w:pPr>
      <w:r>
        <w:rPr>
          <w:rFonts w:hint="eastAsia" w:ascii="仿宋_GB2312" w:eastAsia="仿宋_GB2312"/>
          <w:sz w:val="32"/>
          <w:szCs w:val="32"/>
          <w:lang w:val="en-US" w:eastAsia="zh-CN"/>
        </w:rPr>
        <w:t>15、</w:t>
      </w:r>
      <w:r>
        <w:rPr>
          <w:rFonts w:hint="eastAsia" w:ascii="仿宋_GB2312" w:eastAsia="仿宋_GB2312"/>
          <w:sz w:val="32"/>
          <w:szCs w:val="32"/>
        </w:rPr>
        <w:t>“三公”经费：指部门用财政拨款安排的因公出国（境）费、公务用车购置及运行费和公务接待费。其中，因公出国（境）费反映</w:t>
      </w:r>
      <w:r>
        <w:rPr>
          <w:rFonts w:hint="eastAsia" w:ascii="仿宋_GB2312" w:eastAsia="仿宋_GB2312"/>
          <w:sz w:val="32"/>
          <w:szCs w:val="32"/>
          <w:lang w:val="en-US" w:eastAsia="zh-CN"/>
        </w:rPr>
        <w:t>我</w:t>
      </w:r>
      <w:r>
        <w:rPr>
          <w:rFonts w:hint="eastAsia" w:ascii="仿宋_GB2312" w:eastAsia="仿宋_GB2312"/>
          <w:sz w:val="32"/>
          <w:szCs w:val="32"/>
        </w:rPr>
        <w:t>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2"/>
        <w:spacing w:line="560" w:lineRule="exact"/>
        <w:ind w:firstLine="640" w:firstLineChars="200"/>
        <w:rPr>
          <w:rFonts w:ascii="仿宋_GB2312" w:eastAsia="仿宋_GB2312" w:cs="黑体"/>
          <w:sz w:val="32"/>
          <w:szCs w:val="32"/>
        </w:rPr>
      </w:pPr>
      <w:r>
        <w:rPr>
          <w:rFonts w:hint="eastAsia" w:ascii="仿宋_GB2312" w:eastAsia="仿宋_GB2312"/>
          <w:sz w:val="32"/>
          <w:szCs w:val="32"/>
          <w:lang w:val="en-US" w:eastAsia="zh-CN"/>
        </w:rPr>
        <w:t>16、</w:t>
      </w:r>
      <w:r>
        <w:rPr>
          <w:rFonts w:hint="eastAsia" w:ascii="仿宋_GB2312" w:eastAsia="仿宋_GB2312"/>
          <w:sz w:val="32"/>
          <w:szCs w:val="32"/>
        </w:rPr>
        <w:t>机关运行经费：为保障</w:t>
      </w:r>
      <w:r>
        <w:rPr>
          <w:rFonts w:hint="eastAsia" w:ascii="仿宋_GB2312" w:eastAsia="仿宋_GB2312"/>
          <w:sz w:val="32"/>
          <w:szCs w:val="32"/>
          <w:lang w:val="en-US" w:eastAsia="zh-CN"/>
        </w:rPr>
        <w:t>我单位</w:t>
      </w:r>
      <w:r>
        <w:rPr>
          <w:rFonts w:hint="eastAsia" w:ascii="仿宋_GB2312" w:eastAsia="仿宋_GB2312"/>
          <w:sz w:val="32"/>
          <w:szCs w:val="32"/>
        </w:rPr>
        <w:t>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both"/>
        <w:outlineLvl w:val="0"/>
        <w:rPr>
          <w:rFonts w:hint="eastAsia" w:ascii="黑体" w:hAnsi="黑体" w:eastAsia="黑体"/>
          <w:color w:val="000000"/>
          <w:sz w:val="44"/>
          <w:szCs w:val="44"/>
        </w:rPr>
      </w:pPr>
      <w:bookmarkStart w:id="57" w:name="_Toc15396614"/>
      <w:bookmarkStart w:id="58" w:name="_Toc15377226"/>
    </w:p>
    <w:p>
      <w:pPr>
        <w:spacing w:line="600" w:lineRule="exact"/>
        <w:jc w:val="center"/>
        <w:outlineLvl w:val="0"/>
        <w:rPr>
          <w:rStyle w:val="24"/>
          <w:rFonts w:hint="eastAsia"/>
          <w:lang w:val="en-US" w:eastAsia="zh-CN"/>
        </w:rPr>
      </w:pPr>
      <w:r>
        <w:rPr>
          <w:rFonts w:hint="eastAsia" w:ascii="黑体" w:hAnsi="黑体" w:eastAsia="黑体"/>
          <w:color w:val="000000"/>
          <w:sz w:val="44"/>
          <w:szCs w:val="44"/>
        </w:rPr>
        <w:t>第</w:t>
      </w:r>
      <w:r>
        <w:rPr>
          <w:rStyle w:val="24"/>
          <w:rFonts w:hint="eastAsia" w:ascii="黑体" w:hAnsi="黑体" w:eastAsia="黑体"/>
          <w:b w:val="0"/>
        </w:rPr>
        <w:t>四部分 附件</w:t>
      </w:r>
      <w:bookmarkEnd w:id="57"/>
    </w:p>
    <w:p>
      <w:pPr>
        <w:spacing w:line="600" w:lineRule="exact"/>
        <w:jc w:val="center"/>
        <w:outlineLvl w:val="0"/>
        <w:rPr>
          <w:rStyle w:val="24"/>
          <w:rFonts w:hint="eastAsia"/>
          <w:lang w:val="en-US" w:eastAsia="zh-CN"/>
        </w:rPr>
      </w:pPr>
    </w:p>
    <w:p>
      <w:pPr>
        <w:spacing w:line="600" w:lineRule="exact"/>
        <w:jc w:val="center"/>
        <w:outlineLvl w:val="0"/>
        <w:rPr>
          <w:rStyle w:val="24"/>
          <w:rFonts w:hint="eastAsia"/>
          <w:sz w:val="28"/>
          <w:szCs w:val="28"/>
          <w:lang w:val="en-US" w:eastAsia="zh-CN"/>
        </w:rPr>
      </w:pPr>
      <w:r>
        <w:rPr>
          <w:rStyle w:val="24"/>
          <w:rFonts w:hint="eastAsia"/>
          <w:b w:val="0"/>
          <w:bCs w:val="0"/>
          <w:sz w:val="28"/>
          <w:szCs w:val="28"/>
          <w:lang w:val="en-US" w:eastAsia="zh-CN"/>
        </w:rPr>
        <w:t>无项目，因此无附件</w:t>
      </w:r>
    </w:p>
    <w:p>
      <w:pPr>
        <w:spacing w:line="600" w:lineRule="exact"/>
        <w:jc w:val="both"/>
        <w:outlineLvl w:val="0"/>
        <w:rPr>
          <w:rStyle w:val="24"/>
          <w:rFonts w:hint="eastAsia"/>
          <w:lang w:val="en-US" w:eastAsia="zh-CN"/>
        </w:rPr>
      </w:pPr>
    </w:p>
    <w:p>
      <w:pPr>
        <w:spacing w:line="600" w:lineRule="exact"/>
        <w:jc w:val="both"/>
        <w:outlineLvl w:val="0"/>
        <w:rPr>
          <w:rFonts w:hint="eastAsia" w:ascii="黑体" w:hAnsi="黑体" w:eastAsia="黑体"/>
          <w:color w:val="000000"/>
          <w:sz w:val="44"/>
          <w:szCs w:val="44"/>
        </w:rPr>
      </w:pPr>
      <w:bookmarkStart w:id="59" w:name="_Toc15396618"/>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both"/>
        <w:outlineLvl w:val="0"/>
        <w:rPr>
          <w:rFonts w:hint="eastAsia" w:ascii="黑体" w:hAnsi="黑体" w:eastAsia="黑体"/>
          <w:color w:val="000000"/>
          <w:sz w:val="44"/>
          <w:szCs w:val="44"/>
        </w:rPr>
      </w:pPr>
    </w:p>
    <w:p>
      <w:pPr>
        <w:spacing w:line="600" w:lineRule="exact"/>
        <w:jc w:val="center"/>
        <w:outlineLvl w:val="0"/>
        <w:rPr>
          <w:rStyle w:val="24"/>
          <w:rFonts w:ascii="黑体" w:hAnsi="黑体" w:eastAsia="黑体"/>
          <w:b w:val="0"/>
        </w:rPr>
      </w:pPr>
      <w:r>
        <w:rPr>
          <w:rFonts w:hint="eastAsia" w:ascii="黑体" w:hAnsi="黑体" w:eastAsia="黑体"/>
          <w:color w:val="000000"/>
          <w:sz w:val="44"/>
          <w:szCs w:val="44"/>
        </w:rPr>
        <w:t>第</w:t>
      </w:r>
      <w:r>
        <w:rPr>
          <w:rStyle w:val="24"/>
          <w:rFonts w:hint="eastAsia" w:ascii="黑体" w:hAnsi="黑体" w:eastAsia="黑体"/>
          <w:b w:val="0"/>
        </w:rPr>
        <w:t>五部分 附表</w:t>
      </w:r>
      <w:bookmarkEnd w:id="58"/>
      <w:bookmarkEnd w:id="59"/>
    </w:p>
    <w:p>
      <w:pPr>
        <w:spacing w:line="600" w:lineRule="exact"/>
        <w:jc w:val="center"/>
        <w:outlineLvl w:val="0"/>
        <w:rPr>
          <w:rFonts w:ascii="仿宋" w:hAnsi="仿宋" w:eastAsia="仿宋"/>
          <w:b/>
          <w:color w:val="000000"/>
          <w:sz w:val="44"/>
          <w:szCs w:val="44"/>
        </w:rPr>
      </w:pPr>
    </w:p>
    <w:p>
      <w:pPr>
        <w:spacing w:line="600" w:lineRule="exact"/>
        <w:jc w:val="center"/>
        <w:outlineLvl w:val="0"/>
        <w:rPr>
          <w:rFonts w:ascii="仿宋" w:hAnsi="仿宋" w:eastAsia="仿宋"/>
          <w:b/>
          <w:color w:val="000000"/>
          <w:sz w:val="44"/>
          <w:szCs w:val="44"/>
        </w:rPr>
      </w:pPr>
    </w:p>
    <w:p>
      <w:pPr>
        <w:pStyle w:val="3"/>
        <w:rPr>
          <w:rFonts w:ascii="仿宋" w:hAnsi="仿宋" w:eastAsia="仿宋"/>
          <w:color w:val="000000"/>
          <w:highlight w:val="none"/>
        </w:rPr>
      </w:pPr>
      <w:bookmarkStart w:id="60" w:name="_Toc15396619"/>
      <w:r>
        <w:rPr>
          <w:rFonts w:hint="eastAsia" w:ascii="仿宋" w:hAnsi="仿宋" w:eastAsia="仿宋"/>
          <w:b w:val="0"/>
          <w:color w:val="000000"/>
        </w:rPr>
        <w:t>一、收</w:t>
      </w:r>
      <w:r>
        <w:rPr>
          <w:rStyle w:val="25"/>
          <w:rFonts w:hint="eastAsia" w:ascii="仿宋" w:hAnsi="仿宋" w:eastAsia="仿宋"/>
          <w:b w:val="0"/>
          <w:bCs w:val="0"/>
        </w:rPr>
        <w:t>入支</w:t>
      </w:r>
      <w:r>
        <w:rPr>
          <w:rStyle w:val="25"/>
          <w:rFonts w:hint="eastAsia" w:ascii="仿宋" w:hAnsi="仿宋" w:eastAsia="仿宋"/>
          <w:b w:val="0"/>
          <w:bCs w:val="0"/>
          <w:highlight w:val="none"/>
        </w:rPr>
        <w:t>出决算总表</w:t>
      </w:r>
      <w:bookmarkEnd w:id="60"/>
    </w:p>
    <w:p>
      <w:pPr>
        <w:pStyle w:val="3"/>
        <w:rPr>
          <w:rFonts w:ascii="仿宋" w:hAnsi="仿宋" w:eastAsia="仿宋"/>
          <w:color w:val="000000"/>
          <w:highlight w:val="none"/>
        </w:rPr>
      </w:pPr>
      <w:bookmarkStart w:id="61" w:name="_Toc15396620"/>
      <w:r>
        <w:rPr>
          <w:rFonts w:hint="eastAsia" w:ascii="仿宋" w:hAnsi="仿宋" w:eastAsia="仿宋"/>
          <w:b w:val="0"/>
          <w:color w:val="000000"/>
          <w:highlight w:val="none"/>
        </w:rPr>
        <w:t>二、收</w:t>
      </w:r>
      <w:r>
        <w:rPr>
          <w:rStyle w:val="25"/>
          <w:rFonts w:hint="eastAsia" w:ascii="仿宋" w:hAnsi="仿宋" w:eastAsia="仿宋"/>
          <w:b w:val="0"/>
          <w:bCs w:val="0"/>
          <w:highlight w:val="none"/>
        </w:rPr>
        <w:t>入总表</w:t>
      </w:r>
      <w:bookmarkEnd w:id="61"/>
    </w:p>
    <w:p>
      <w:pPr>
        <w:pStyle w:val="3"/>
        <w:rPr>
          <w:rFonts w:ascii="仿宋" w:hAnsi="仿宋" w:eastAsia="仿宋"/>
          <w:color w:val="000000"/>
          <w:highlight w:val="none"/>
        </w:rPr>
      </w:pPr>
      <w:bookmarkStart w:id="62" w:name="_Toc15396621"/>
      <w:r>
        <w:rPr>
          <w:rStyle w:val="25"/>
          <w:rFonts w:hint="eastAsia" w:ascii="仿宋" w:hAnsi="仿宋" w:eastAsia="仿宋"/>
          <w:b w:val="0"/>
          <w:bCs w:val="0"/>
          <w:highlight w:val="none"/>
        </w:rPr>
        <w:t>三、</w:t>
      </w:r>
      <w:r>
        <w:rPr>
          <w:rFonts w:hint="eastAsia" w:ascii="仿宋" w:hAnsi="仿宋" w:eastAsia="仿宋"/>
          <w:b w:val="0"/>
          <w:color w:val="000000"/>
          <w:highlight w:val="none"/>
        </w:rPr>
        <w:t>支</w:t>
      </w:r>
      <w:r>
        <w:rPr>
          <w:rStyle w:val="25"/>
          <w:rFonts w:hint="eastAsia" w:ascii="仿宋" w:hAnsi="仿宋" w:eastAsia="仿宋"/>
          <w:b w:val="0"/>
          <w:bCs w:val="0"/>
          <w:highlight w:val="none"/>
        </w:rPr>
        <w:t>出总表</w:t>
      </w:r>
      <w:bookmarkEnd w:id="62"/>
    </w:p>
    <w:p>
      <w:pPr>
        <w:pStyle w:val="3"/>
        <w:rPr>
          <w:rFonts w:ascii="仿宋" w:hAnsi="仿宋" w:eastAsia="仿宋"/>
          <w:b w:val="0"/>
          <w:color w:val="000000"/>
          <w:highlight w:val="none"/>
        </w:rPr>
      </w:pPr>
      <w:bookmarkStart w:id="63" w:name="_Toc15396622"/>
      <w:r>
        <w:rPr>
          <w:rStyle w:val="25"/>
          <w:rFonts w:hint="eastAsia" w:ascii="仿宋" w:hAnsi="仿宋" w:eastAsia="仿宋"/>
          <w:b w:val="0"/>
          <w:bCs w:val="0"/>
          <w:highlight w:val="none"/>
        </w:rPr>
        <w:t>四、</w:t>
      </w:r>
      <w:r>
        <w:rPr>
          <w:rFonts w:hint="eastAsia" w:ascii="仿宋" w:hAnsi="仿宋" w:eastAsia="仿宋"/>
          <w:b w:val="0"/>
          <w:color w:val="000000"/>
          <w:highlight w:val="none"/>
        </w:rPr>
        <w:t>财</w:t>
      </w:r>
      <w:r>
        <w:rPr>
          <w:rStyle w:val="25"/>
          <w:rFonts w:hint="eastAsia" w:ascii="仿宋" w:hAnsi="仿宋" w:eastAsia="仿宋"/>
          <w:b w:val="0"/>
          <w:bCs w:val="0"/>
          <w:highlight w:val="none"/>
        </w:rPr>
        <w:t>政拨款收入支出决算总表</w:t>
      </w:r>
      <w:bookmarkEnd w:id="63"/>
    </w:p>
    <w:p>
      <w:pPr>
        <w:pStyle w:val="3"/>
        <w:rPr>
          <w:rFonts w:ascii="仿宋" w:hAnsi="仿宋" w:eastAsia="仿宋"/>
          <w:color w:val="000000"/>
          <w:highlight w:val="none"/>
        </w:rPr>
      </w:pPr>
      <w:bookmarkStart w:id="64" w:name="_Toc15396623"/>
      <w:r>
        <w:rPr>
          <w:rStyle w:val="25"/>
          <w:rFonts w:hint="eastAsia" w:ascii="仿宋" w:hAnsi="仿宋" w:eastAsia="仿宋"/>
          <w:b w:val="0"/>
          <w:bCs w:val="0"/>
          <w:highlight w:val="none"/>
        </w:rPr>
        <w:t>五、</w:t>
      </w:r>
      <w:r>
        <w:rPr>
          <w:rFonts w:hint="eastAsia" w:ascii="仿宋" w:hAnsi="仿宋" w:eastAsia="仿宋"/>
          <w:b w:val="0"/>
          <w:color w:val="000000"/>
          <w:highlight w:val="none"/>
        </w:rPr>
        <w:t>财</w:t>
      </w:r>
      <w:r>
        <w:rPr>
          <w:rStyle w:val="25"/>
          <w:rFonts w:hint="eastAsia" w:ascii="仿宋" w:hAnsi="仿宋" w:eastAsia="仿宋"/>
          <w:b w:val="0"/>
          <w:bCs w:val="0"/>
          <w:highlight w:val="none"/>
        </w:rPr>
        <w:t>政拨款支出决算明细表（政府经济分类科目）</w:t>
      </w:r>
      <w:bookmarkEnd w:id="64"/>
    </w:p>
    <w:p>
      <w:pPr>
        <w:pStyle w:val="3"/>
        <w:rPr>
          <w:rFonts w:ascii="仿宋" w:hAnsi="仿宋" w:eastAsia="仿宋"/>
          <w:color w:val="000000"/>
          <w:highlight w:val="none"/>
        </w:rPr>
      </w:pPr>
      <w:bookmarkStart w:id="65" w:name="_Toc15396624"/>
      <w:r>
        <w:rPr>
          <w:rStyle w:val="25"/>
          <w:rFonts w:hint="eastAsia" w:ascii="仿宋" w:hAnsi="仿宋" w:eastAsia="仿宋"/>
          <w:b w:val="0"/>
          <w:bCs w:val="0"/>
          <w:highlight w:val="none"/>
        </w:rPr>
        <w:t>六、</w:t>
      </w:r>
      <w:r>
        <w:rPr>
          <w:rFonts w:hint="eastAsia" w:ascii="仿宋" w:hAnsi="仿宋" w:eastAsia="仿宋"/>
          <w:b w:val="0"/>
          <w:color w:val="000000"/>
          <w:highlight w:val="none"/>
        </w:rPr>
        <w:t>一</w:t>
      </w:r>
      <w:r>
        <w:rPr>
          <w:rStyle w:val="25"/>
          <w:rFonts w:hint="eastAsia" w:ascii="仿宋" w:hAnsi="仿宋" w:eastAsia="仿宋"/>
          <w:b w:val="0"/>
          <w:bCs w:val="0"/>
          <w:highlight w:val="none"/>
        </w:rPr>
        <w:t>般公共预算财政拨款支出决算表</w:t>
      </w:r>
      <w:bookmarkEnd w:id="65"/>
    </w:p>
    <w:p>
      <w:pPr>
        <w:pStyle w:val="3"/>
        <w:rPr>
          <w:rFonts w:ascii="仿宋" w:hAnsi="仿宋" w:eastAsia="仿宋"/>
          <w:color w:val="000000"/>
          <w:highlight w:val="none"/>
        </w:rPr>
      </w:pPr>
      <w:bookmarkStart w:id="66" w:name="_Toc15396625"/>
      <w:r>
        <w:rPr>
          <w:rStyle w:val="25"/>
          <w:rFonts w:hint="eastAsia" w:ascii="仿宋" w:hAnsi="仿宋" w:eastAsia="仿宋"/>
          <w:b w:val="0"/>
          <w:bCs w:val="0"/>
          <w:highlight w:val="none"/>
        </w:rPr>
        <w:t>七、</w:t>
      </w:r>
      <w:r>
        <w:rPr>
          <w:rFonts w:hint="eastAsia" w:ascii="仿宋" w:hAnsi="仿宋" w:eastAsia="仿宋"/>
          <w:b w:val="0"/>
          <w:color w:val="000000"/>
          <w:highlight w:val="none"/>
        </w:rPr>
        <w:t>一</w:t>
      </w:r>
      <w:r>
        <w:rPr>
          <w:rStyle w:val="25"/>
          <w:rFonts w:hint="eastAsia" w:ascii="仿宋" w:hAnsi="仿宋" w:eastAsia="仿宋"/>
          <w:b w:val="0"/>
          <w:bCs w:val="0"/>
          <w:highlight w:val="none"/>
        </w:rPr>
        <w:t>般公共预算财政拨款支出决算明细表</w:t>
      </w:r>
      <w:bookmarkEnd w:id="66"/>
    </w:p>
    <w:p>
      <w:pPr>
        <w:pStyle w:val="3"/>
        <w:rPr>
          <w:rFonts w:ascii="仿宋" w:hAnsi="仿宋" w:eastAsia="仿宋"/>
          <w:color w:val="000000"/>
          <w:highlight w:val="none"/>
        </w:rPr>
      </w:pPr>
      <w:bookmarkStart w:id="67" w:name="_Toc15396626"/>
      <w:r>
        <w:rPr>
          <w:rStyle w:val="25"/>
          <w:rFonts w:hint="eastAsia" w:ascii="仿宋" w:hAnsi="仿宋" w:eastAsia="仿宋"/>
          <w:b w:val="0"/>
          <w:bCs w:val="0"/>
          <w:highlight w:val="none"/>
        </w:rPr>
        <w:t>八、</w:t>
      </w:r>
      <w:r>
        <w:rPr>
          <w:rFonts w:hint="eastAsia" w:ascii="仿宋" w:hAnsi="仿宋" w:eastAsia="仿宋"/>
          <w:b w:val="0"/>
          <w:color w:val="000000"/>
          <w:highlight w:val="none"/>
        </w:rPr>
        <w:t>一</w:t>
      </w:r>
      <w:r>
        <w:rPr>
          <w:rStyle w:val="25"/>
          <w:rFonts w:hint="eastAsia" w:ascii="仿宋" w:hAnsi="仿宋" w:eastAsia="仿宋"/>
          <w:b w:val="0"/>
          <w:bCs w:val="0"/>
          <w:highlight w:val="none"/>
        </w:rPr>
        <w:t>般公共预算财政拨款基本支出决算表</w:t>
      </w:r>
      <w:bookmarkEnd w:id="67"/>
    </w:p>
    <w:p>
      <w:pPr>
        <w:pStyle w:val="3"/>
        <w:rPr>
          <w:rFonts w:ascii="仿宋" w:hAnsi="仿宋" w:eastAsia="仿宋"/>
          <w:color w:val="000000"/>
          <w:highlight w:val="none"/>
        </w:rPr>
      </w:pPr>
      <w:bookmarkStart w:id="68" w:name="_Toc15396627"/>
      <w:r>
        <w:rPr>
          <w:rStyle w:val="25"/>
          <w:rFonts w:hint="eastAsia" w:ascii="仿宋" w:hAnsi="仿宋" w:eastAsia="仿宋"/>
          <w:b w:val="0"/>
          <w:bCs w:val="0"/>
          <w:highlight w:val="none"/>
        </w:rPr>
        <w:t>九、</w:t>
      </w:r>
      <w:r>
        <w:rPr>
          <w:rFonts w:hint="eastAsia" w:ascii="仿宋" w:hAnsi="仿宋" w:eastAsia="仿宋"/>
          <w:b w:val="0"/>
          <w:color w:val="000000"/>
          <w:highlight w:val="none"/>
        </w:rPr>
        <w:t>一</w:t>
      </w:r>
      <w:r>
        <w:rPr>
          <w:rStyle w:val="25"/>
          <w:rFonts w:hint="eastAsia" w:ascii="仿宋" w:hAnsi="仿宋" w:eastAsia="仿宋"/>
          <w:b w:val="0"/>
          <w:bCs w:val="0"/>
          <w:highlight w:val="none"/>
        </w:rPr>
        <w:t>般公共预算财政拨款项目支出决算表</w:t>
      </w:r>
      <w:bookmarkEnd w:id="68"/>
    </w:p>
    <w:p>
      <w:pPr>
        <w:pStyle w:val="3"/>
        <w:rPr>
          <w:rFonts w:ascii="仿宋" w:hAnsi="仿宋" w:eastAsia="仿宋"/>
          <w:color w:val="000000"/>
          <w:highlight w:val="none"/>
        </w:rPr>
      </w:pPr>
      <w:bookmarkStart w:id="69" w:name="_Toc15396628"/>
      <w:r>
        <w:rPr>
          <w:rStyle w:val="25"/>
          <w:rFonts w:hint="eastAsia" w:ascii="仿宋" w:hAnsi="仿宋" w:eastAsia="仿宋"/>
          <w:b w:val="0"/>
          <w:bCs w:val="0"/>
          <w:highlight w:val="none"/>
        </w:rPr>
        <w:t>十、</w:t>
      </w:r>
      <w:r>
        <w:rPr>
          <w:rFonts w:hint="eastAsia" w:ascii="仿宋" w:hAnsi="仿宋" w:eastAsia="仿宋"/>
          <w:b w:val="0"/>
          <w:color w:val="000000"/>
          <w:highlight w:val="none"/>
        </w:rPr>
        <w:t>一</w:t>
      </w:r>
      <w:r>
        <w:rPr>
          <w:rStyle w:val="25"/>
          <w:rFonts w:hint="eastAsia" w:ascii="仿宋" w:hAnsi="仿宋" w:eastAsia="仿宋"/>
          <w:b w:val="0"/>
          <w:bCs w:val="0"/>
          <w:highlight w:val="none"/>
        </w:rPr>
        <w:t>般公共预算财政拨款“三公”经费支出决算表</w:t>
      </w:r>
      <w:bookmarkEnd w:id="69"/>
    </w:p>
    <w:p>
      <w:pPr>
        <w:pStyle w:val="3"/>
        <w:rPr>
          <w:rFonts w:ascii="仿宋" w:hAnsi="仿宋" w:eastAsia="仿宋"/>
          <w:color w:val="000000"/>
          <w:highlight w:val="none"/>
        </w:rPr>
      </w:pPr>
      <w:bookmarkStart w:id="70" w:name="_Toc15396629"/>
      <w:r>
        <w:rPr>
          <w:rStyle w:val="25"/>
          <w:rFonts w:hint="eastAsia" w:ascii="仿宋" w:hAnsi="仿宋" w:eastAsia="仿宋"/>
          <w:b w:val="0"/>
          <w:bCs w:val="0"/>
          <w:highlight w:val="none"/>
        </w:rPr>
        <w:t>十一、</w:t>
      </w:r>
      <w:r>
        <w:rPr>
          <w:rFonts w:hint="eastAsia" w:ascii="仿宋" w:hAnsi="仿宋" w:eastAsia="仿宋"/>
          <w:b w:val="0"/>
          <w:color w:val="000000"/>
          <w:highlight w:val="none"/>
        </w:rPr>
        <w:t>政</w:t>
      </w:r>
      <w:r>
        <w:rPr>
          <w:rStyle w:val="25"/>
          <w:rFonts w:hint="eastAsia" w:ascii="仿宋" w:hAnsi="仿宋" w:eastAsia="仿宋"/>
          <w:b w:val="0"/>
          <w:bCs w:val="0"/>
          <w:highlight w:val="none"/>
        </w:rPr>
        <w:t>府性基金预算财政拨款收入支出决算表</w:t>
      </w:r>
      <w:bookmarkEnd w:id="70"/>
    </w:p>
    <w:p>
      <w:pPr>
        <w:pStyle w:val="3"/>
        <w:rPr>
          <w:rFonts w:ascii="仿宋" w:hAnsi="仿宋" w:eastAsia="仿宋"/>
          <w:color w:val="000000"/>
        </w:rPr>
      </w:pPr>
      <w:bookmarkStart w:id="71" w:name="_Toc15396630"/>
      <w:r>
        <w:rPr>
          <w:rStyle w:val="25"/>
          <w:rFonts w:hint="eastAsia" w:ascii="仿宋" w:hAnsi="仿宋" w:eastAsia="仿宋"/>
          <w:b w:val="0"/>
          <w:bCs w:val="0"/>
          <w:highlight w:val="none"/>
        </w:rPr>
        <w:t>十二、</w:t>
      </w:r>
      <w:r>
        <w:rPr>
          <w:rFonts w:hint="eastAsia" w:ascii="仿宋" w:hAnsi="仿宋" w:eastAsia="仿宋"/>
          <w:b w:val="0"/>
          <w:color w:val="000000"/>
          <w:highlight w:val="none"/>
        </w:rPr>
        <w:t>政</w:t>
      </w:r>
      <w:r>
        <w:rPr>
          <w:rStyle w:val="25"/>
          <w:rFonts w:hint="eastAsia" w:ascii="仿宋" w:hAnsi="仿宋" w:eastAsia="仿宋"/>
          <w:b w:val="0"/>
          <w:bCs w:val="0"/>
          <w:highlight w:val="none"/>
        </w:rPr>
        <w:t>府性基金预算财政拨款“三</w:t>
      </w:r>
      <w:r>
        <w:rPr>
          <w:rStyle w:val="25"/>
          <w:rFonts w:hint="eastAsia" w:ascii="仿宋" w:hAnsi="仿宋" w:eastAsia="仿宋"/>
          <w:b w:val="0"/>
          <w:bCs w:val="0"/>
        </w:rPr>
        <w:t>公”经费支出决算表</w:t>
      </w:r>
      <w:bookmarkEnd w:id="71"/>
    </w:p>
    <w:p>
      <w:pPr>
        <w:pStyle w:val="3"/>
        <w:rPr>
          <w:rFonts w:ascii="仿宋" w:hAnsi="仿宋" w:eastAsia="仿宋"/>
          <w:color w:val="000000" w:themeColor="text1"/>
          <w14:textFill>
            <w14:solidFill>
              <w14:schemeClr w14:val="tx1"/>
            </w14:solidFill>
          </w14:textFill>
        </w:rPr>
      </w:pPr>
      <w:bookmarkStart w:id="72" w:name="_Toc15396631"/>
      <w:r>
        <w:rPr>
          <w:rStyle w:val="25"/>
          <w:rFonts w:hint="eastAsia" w:ascii="仿宋" w:hAnsi="仿宋" w:eastAsia="仿宋"/>
          <w:b w:val="0"/>
          <w:bCs w:val="0"/>
        </w:rPr>
        <w:t>十三、</w:t>
      </w:r>
      <w:r>
        <w:rPr>
          <w:rFonts w:hint="eastAsia" w:ascii="仿宋" w:hAnsi="仿宋" w:eastAsia="仿宋"/>
          <w:b w:val="0"/>
          <w:color w:val="000000"/>
        </w:rPr>
        <w:t>国</w:t>
      </w:r>
      <w:r>
        <w:rPr>
          <w:rStyle w:val="25"/>
          <w:rFonts w:hint="eastAsia" w:ascii="仿宋" w:hAnsi="仿宋" w:eastAsia="仿宋"/>
          <w:b w:val="0"/>
          <w:bCs w:val="0"/>
        </w:rPr>
        <w:t>有资本经营预算支出决算表</w:t>
      </w:r>
      <w:bookmarkEnd w:id="72"/>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A0000287" w:usb1="28C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docPartObj>
        <w:docPartGallery w:val="autotext"/>
      </w:docPartObj>
    </w:sdtPr>
    <w:sdtContent>
      <w:p>
        <w:pPr>
          <w:pStyle w:val="8"/>
          <w:jc w:val="center"/>
        </w:pPr>
        <w:r>
          <w:fldChar w:fldCharType="begin"/>
        </w:r>
        <w:r>
          <w:instrText xml:space="preserve">PAGE   \* MERGEFORMAT</w:instrText>
        </w:r>
        <w:r>
          <w:fldChar w:fldCharType="separate"/>
        </w:r>
        <w:r>
          <w:rPr>
            <w:lang w:val="zh-CN"/>
          </w:rPr>
          <w:t>10</w:t>
        </w:r>
        <w:r>
          <w:fldChar w:fldCharType="end"/>
        </w:r>
      </w:p>
    </w:sdtContent>
  </w:sdt>
  <w:p>
    <w:pPr>
      <w:pStyle w:val="8"/>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A89DA3A"/>
    <w:multiLevelType w:val="singleLevel"/>
    <w:tmpl w:val="8A89DA3A"/>
    <w:lvl w:ilvl="0" w:tentative="0">
      <w:start w:val="1"/>
      <w:numFmt w:val="decimal"/>
      <w:lvlText w:val="%1."/>
      <w:lvlJc w:val="left"/>
      <w:pPr>
        <w:tabs>
          <w:tab w:val="left" w:pos="312"/>
        </w:tabs>
      </w:pPr>
    </w:lvl>
  </w:abstractNum>
  <w:abstractNum w:abstractNumId="1">
    <w:nsid w:val="CF652CEC"/>
    <w:multiLevelType w:val="singleLevel"/>
    <w:tmpl w:val="CF652CEC"/>
    <w:lvl w:ilvl="0" w:tentative="0">
      <w:start w:val="9"/>
      <w:numFmt w:val="chineseCounting"/>
      <w:suff w:val="nothing"/>
      <w:lvlText w:val="%1、"/>
      <w:lvlJc w:val="left"/>
      <w:rPr>
        <w:rFonts w:hint="eastAsia"/>
      </w:rPr>
    </w:lvl>
  </w:abstractNum>
  <w:abstractNum w:abstractNumId="2">
    <w:nsid w:val="E2FA047D"/>
    <w:multiLevelType w:val="singleLevel"/>
    <w:tmpl w:val="E2FA047D"/>
    <w:lvl w:ilvl="0" w:tentative="0">
      <w:start w:val="3"/>
      <w:numFmt w:val="chineseCounting"/>
      <w:suff w:val="space"/>
      <w:lvlText w:val="第%1部分"/>
      <w:lvlJc w:val="left"/>
      <w:rPr>
        <w:rFonts w:hint="eastAsia"/>
      </w:rPr>
    </w:lvl>
  </w:abstractNum>
  <w:abstractNum w:abstractNumId="3">
    <w:nsid w:val="E56D157A"/>
    <w:multiLevelType w:val="singleLevel"/>
    <w:tmpl w:val="E56D157A"/>
    <w:lvl w:ilvl="0" w:tentative="0">
      <w:start w:val="4"/>
      <w:numFmt w:val="decimal"/>
      <w:lvlText w:val="%1."/>
      <w:lvlJc w:val="left"/>
      <w:pPr>
        <w:tabs>
          <w:tab w:val="left" w:pos="312"/>
        </w:tabs>
      </w:pPr>
    </w:lvl>
  </w:abstractNum>
  <w:abstractNum w:abstractNumId="4">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17F426B7"/>
    <w:multiLevelType w:val="multilevel"/>
    <w:tmpl w:val="17F426B7"/>
    <w:lvl w:ilvl="0" w:tentative="0">
      <w:start w:val="10"/>
      <w:numFmt w:val="japaneseCounting"/>
      <w:lvlText w:val="%1、"/>
      <w:lvlJc w:val="left"/>
      <w:pPr>
        <w:ind w:left="1429" w:hanging="7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num w:numId="1">
    <w:abstractNumId w:val="4"/>
  </w:num>
  <w:num w:numId="2">
    <w:abstractNumId w:val="3"/>
  </w:num>
  <w:num w:numId="3">
    <w:abstractNumId w:val="0"/>
  </w:num>
  <w:num w:numId="4">
    <w:abstractNumId w:val="1"/>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61C"/>
    <w:rsid w:val="000222C6"/>
    <w:rsid w:val="0002549F"/>
    <w:rsid w:val="0006487A"/>
    <w:rsid w:val="00065F8F"/>
    <w:rsid w:val="000768F2"/>
    <w:rsid w:val="0009184B"/>
    <w:rsid w:val="0009593C"/>
    <w:rsid w:val="000B047F"/>
    <w:rsid w:val="000B5923"/>
    <w:rsid w:val="000B5A48"/>
    <w:rsid w:val="000B6FF3"/>
    <w:rsid w:val="000C3467"/>
    <w:rsid w:val="000C3CA6"/>
    <w:rsid w:val="000D1267"/>
    <w:rsid w:val="000D1D50"/>
    <w:rsid w:val="000D5782"/>
    <w:rsid w:val="000E41C0"/>
    <w:rsid w:val="000E6613"/>
    <w:rsid w:val="000E7119"/>
    <w:rsid w:val="00114E9B"/>
    <w:rsid w:val="0014729F"/>
    <w:rsid w:val="00157BAB"/>
    <w:rsid w:val="001654D1"/>
    <w:rsid w:val="0018106D"/>
    <w:rsid w:val="001877A7"/>
    <w:rsid w:val="00191536"/>
    <w:rsid w:val="00196687"/>
    <w:rsid w:val="001C0962"/>
    <w:rsid w:val="001D7531"/>
    <w:rsid w:val="001E737D"/>
    <w:rsid w:val="001F0592"/>
    <w:rsid w:val="001F7506"/>
    <w:rsid w:val="002006CD"/>
    <w:rsid w:val="00202B36"/>
    <w:rsid w:val="00204B7A"/>
    <w:rsid w:val="0021101A"/>
    <w:rsid w:val="00220536"/>
    <w:rsid w:val="00235629"/>
    <w:rsid w:val="00260C38"/>
    <w:rsid w:val="002616C0"/>
    <w:rsid w:val="002662AA"/>
    <w:rsid w:val="00280496"/>
    <w:rsid w:val="002900A4"/>
    <w:rsid w:val="00295495"/>
    <w:rsid w:val="002B2613"/>
    <w:rsid w:val="002F1818"/>
    <w:rsid w:val="002F567B"/>
    <w:rsid w:val="003216A9"/>
    <w:rsid w:val="0037013F"/>
    <w:rsid w:val="00371F8B"/>
    <w:rsid w:val="00380C92"/>
    <w:rsid w:val="003A484F"/>
    <w:rsid w:val="003B0BE0"/>
    <w:rsid w:val="003B0C1B"/>
    <w:rsid w:val="003B688C"/>
    <w:rsid w:val="003C0291"/>
    <w:rsid w:val="003C39AE"/>
    <w:rsid w:val="003C7B60"/>
    <w:rsid w:val="003D1FB2"/>
    <w:rsid w:val="003D66DA"/>
    <w:rsid w:val="003E1310"/>
    <w:rsid w:val="003E6F55"/>
    <w:rsid w:val="0040503F"/>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47083"/>
    <w:rsid w:val="005664BB"/>
    <w:rsid w:val="0057481D"/>
    <w:rsid w:val="0058486E"/>
    <w:rsid w:val="005D1C8B"/>
    <w:rsid w:val="005D5CED"/>
    <w:rsid w:val="005F1A4C"/>
    <w:rsid w:val="00605688"/>
    <w:rsid w:val="006070AF"/>
    <w:rsid w:val="00607E6C"/>
    <w:rsid w:val="006101B1"/>
    <w:rsid w:val="00614E44"/>
    <w:rsid w:val="00622830"/>
    <w:rsid w:val="00630AEF"/>
    <w:rsid w:val="006325F8"/>
    <w:rsid w:val="00634C9A"/>
    <w:rsid w:val="006440E4"/>
    <w:rsid w:val="0066343B"/>
    <w:rsid w:val="00664777"/>
    <w:rsid w:val="006748A4"/>
    <w:rsid w:val="006759C4"/>
    <w:rsid w:val="00676A35"/>
    <w:rsid w:val="00683E73"/>
    <w:rsid w:val="006A3141"/>
    <w:rsid w:val="006A5E34"/>
    <w:rsid w:val="006B2422"/>
    <w:rsid w:val="006B2B9A"/>
    <w:rsid w:val="006C1937"/>
    <w:rsid w:val="006F020C"/>
    <w:rsid w:val="007127B7"/>
    <w:rsid w:val="007416B6"/>
    <w:rsid w:val="00746F48"/>
    <w:rsid w:val="0075404D"/>
    <w:rsid w:val="0076182A"/>
    <w:rsid w:val="00767B7E"/>
    <w:rsid w:val="007770C3"/>
    <w:rsid w:val="00784D24"/>
    <w:rsid w:val="00785FBA"/>
    <w:rsid w:val="00786E4A"/>
    <w:rsid w:val="007875EB"/>
    <w:rsid w:val="0079426B"/>
    <w:rsid w:val="007A2E13"/>
    <w:rsid w:val="007D312A"/>
    <w:rsid w:val="007D3F19"/>
    <w:rsid w:val="007E23B0"/>
    <w:rsid w:val="007F1991"/>
    <w:rsid w:val="007F2C2F"/>
    <w:rsid w:val="007F55FC"/>
    <w:rsid w:val="007F5665"/>
    <w:rsid w:val="00800112"/>
    <w:rsid w:val="008253BB"/>
    <w:rsid w:val="0083706E"/>
    <w:rsid w:val="008423A5"/>
    <w:rsid w:val="00850625"/>
    <w:rsid w:val="00853718"/>
    <w:rsid w:val="00855221"/>
    <w:rsid w:val="00860645"/>
    <w:rsid w:val="00871F71"/>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46945"/>
    <w:rsid w:val="00951248"/>
    <w:rsid w:val="0095152F"/>
    <w:rsid w:val="00954C49"/>
    <w:rsid w:val="0097099F"/>
    <w:rsid w:val="00971997"/>
    <w:rsid w:val="00971FFC"/>
    <w:rsid w:val="0098660A"/>
    <w:rsid w:val="009931C3"/>
    <w:rsid w:val="009B2C43"/>
    <w:rsid w:val="009B4EAE"/>
    <w:rsid w:val="009B7573"/>
    <w:rsid w:val="009C22F4"/>
    <w:rsid w:val="009C2E98"/>
    <w:rsid w:val="009D3447"/>
    <w:rsid w:val="009D4711"/>
    <w:rsid w:val="009F1185"/>
    <w:rsid w:val="009F18CD"/>
    <w:rsid w:val="009F2A13"/>
    <w:rsid w:val="00A04EB0"/>
    <w:rsid w:val="00A13CC1"/>
    <w:rsid w:val="00A16847"/>
    <w:rsid w:val="00A237D8"/>
    <w:rsid w:val="00A268C4"/>
    <w:rsid w:val="00A307CD"/>
    <w:rsid w:val="00A40A00"/>
    <w:rsid w:val="00A4142F"/>
    <w:rsid w:val="00A56DF2"/>
    <w:rsid w:val="00A67AB5"/>
    <w:rsid w:val="00A91760"/>
    <w:rsid w:val="00A93B00"/>
    <w:rsid w:val="00A93C21"/>
    <w:rsid w:val="00AC3C6A"/>
    <w:rsid w:val="00AD5620"/>
    <w:rsid w:val="00AD7C1B"/>
    <w:rsid w:val="00AE16BA"/>
    <w:rsid w:val="00AE1EBE"/>
    <w:rsid w:val="00B03C9D"/>
    <w:rsid w:val="00B060AE"/>
    <w:rsid w:val="00B10517"/>
    <w:rsid w:val="00B14E76"/>
    <w:rsid w:val="00B161B8"/>
    <w:rsid w:val="00B2048C"/>
    <w:rsid w:val="00B24A2B"/>
    <w:rsid w:val="00B310B9"/>
    <w:rsid w:val="00B35F3F"/>
    <w:rsid w:val="00B36CBB"/>
    <w:rsid w:val="00B425E0"/>
    <w:rsid w:val="00B440AA"/>
    <w:rsid w:val="00B44B70"/>
    <w:rsid w:val="00B53C56"/>
    <w:rsid w:val="00B77EA6"/>
    <w:rsid w:val="00B81598"/>
    <w:rsid w:val="00B841F1"/>
    <w:rsid w:val="00B944D6"/>
    <w:rsid w:val="00BB0682"/>
    <w:rsid w:val="00BB4DF0"/>
    <w:rsid w:val="00BC289F"/>
    <w:rsid w:val="00BC5361"/>
    <w:rsid w:val="00BC5460"/>
    <w:rsid w:val="00BC6B50"/>
    <w:rsid w:val="00BD0E25"/>
    <w:rsid w:val="00BF5BD6"/>
    <w:rsid w:val="00C03E31"/>
    <w:rsid w:val="00C159EF"/>
    <w:rsid w:val="00C33E72"/>
    <w:rsid w:val="00C354B2"/>
    <w:rsid w:val="00C35554"/>
    <w:rsid w:val="00C42709"/>
    <w:rsid w:val="00C533CC"/>
    <w:rsid w:val="00C5751C"/>
    <w:rsid w:val="00C61BFC"/>
    <w:rsid w:val="00C62B85"/>
    <w:rsid w:val="00C65438"/>
    <w:rsid w:val="00C91CBB"/>
    <w:rsid w:val="00CC09B6"/>
    <w:rsid w:val="00CC666F"/>
    <w:rsid w:val="00CD1E3F"/>
    <w:rsid w:val="00CE44F6"/>
    <w:rsid w:val="00CE49DA"/>
    <w:rsid w:val="00CE7B61"/>
    <w:rsid w:val="00D00095"/>
    <w:rsid w:val="00D12650"/>
    <w:rsid w:val="00D20620"/>
    <w:rsid w:val="00D26091"/>
    <w:rsid w:val="00D34E7C"/>
    <w:rsid w:val="00D35489"/>
    <w:rsid w:val="00D51276"/>
    <w:rsid w:val="00D7035F"/>
    <w:rsid w:val="00DA0A2C"/>
    <w:rsid w:val="00DA65AC"/>
    <w:rsid w:val="00DB1913"/>
    <w:rsid w:val="00DC410D"/>
    <w:rsid w:val="00DC68CA"/>
    <w:rsid w:val="00DC7CBA"/>
    <w:rsid w:val="00DD73B7"/>
    <w:rsid w:val="00DF28BC"/>
    <w:rsid w:val="00DF34B9"/>
    <w:rsid w:val="00E01053"/>
    <w:rsid w:val="00E07ACF"/>
    <w:rsid w:val="00E331A1"/>
    <w:rsid w:val="00E33202"/>
    <w:rsid w:val="00E336A9"/>
    <w:rsid w:val="00E50624"/>
    <w:rsid w:val="00E568DF"/>
    <w:rsid w:val="00E64269"/>
    <w:rsid w:val="00E82267"/>
    <w:rsid w:val="00EA010F"/>
    <w:rsid w:val="00ED1B63"/>
    <w:rsid w:val="00ED3C1F"/>
    <w:rsid w:val="00ED4085"/>
    <w:rsid w:val="00ED420E"/>
    <w:rsid w:val="00EE2F57"/>
    <w:rsid w:val="00EF4C34"/>
    <w:rsid w:val="00EF77C6"/>
    <w:rsid w:val="00F05438"/>
    <w:rsid w:val="00F1361C"/>
    <w:rsid w:val="00F160C7"/>
    <w:rsid w:val="00F36D8F"/>
    <w:rsid w:val="00F417B1"/>
    <w:rsid w:val="00F602DF"/>
    <w:rsid w:val="00F81FD9"/>
    <w:rsid w:val="00F841AA"/>
    <w:rsid w:val="00FA23E8"/>
    <w:rsid w:val="00FD3CC1"/>
    <w:rsid w:val="00FF1E02"/>
    <w:rsid w:val="00FF30B4"/>
    <w:rsid w:val="070330CF"/>
    <w:rsid w:val="09BE7378"/>
    <w:rsid w:val="10C055FF"/>
    <w:rsid w:val="141B20AB"/>
    <w:rsid w:val="16BB723D"/>
    <w:rsid w:val="1E057374"/>
    <w:rsid w:val="1F9A19ED"/>
    <w:rsid w:val="23874FD5"/>
    <w:rsid w:val="23A20CD9"/>
    <w:rsid w:val="240371BF"/>
    <w:rsid w:val="267A4350"/>
    <w:rsid w:val="29FD04D3"/>
    <w:rsid w:val="301A3299"/>
    <w:rsid w:val="313B15CC"/>
    <w:rsid w:val="319F7F4E"/>
    <w:rsid w:val="36433D40"/>
    <w:rsid w:val="367717B7"/>
    <w:rsid w:val="3C944773"/>
    <w:rsid w:val="419A5392"/>
    <w:rsid w:val="41D3094E"/>
    <w:rsid w:val="42C736B6"/>
    <w:rsid w:val="44FD6454"/>
    <w:rsid w:val="47E200F0"/>
    <w:rsid w:val="4847179B"/>
    <w:rsid w:val="4DAE0A40"/>
    <w:rsid w:val="507D314D"/>
    <w:rsid w:val="516423AF"/>
    <w:rsid w:val="525144FB"/>
    <w:rsid w:val="56447BC3"/>
    <w:rsid w:val="5EA2583A"/>
    <w:rsid w:val="66B2043C"/>
    <w:rsid w:val="6BFF52B5"/>
    <w:rsid w:val="6C6A71A5"/>
    <w:rsid w:val="6DB72A93"/>
    <w:rsid w:val="755F5FB9"/>
    <w:rsid w:val="780231F0"/>
    <w:rsid w:val="7AAD1CC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4"/>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5"/>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28"/>
    <w:unhideWhenUsed/>
    <w:qFormat/>
    <w:uiPriority w:val="9"/>
    <w:pPr>
      <w:keepNext/>
      <w:keepLines/>
      <w:spacing w:before="260" w:after="260" w:line="416" w:lineRule="auto"/>
      <w:outlineLvl w:val="2"/>
    </w:pPr>
    <w:rPr>
      <w:b/>
      <w:bCs/>
      <w:sz w:val="32"/>
      <w:szCs w:val="32"/>
    </w:rPr>
  </w:style>
  <w:style w:type="character" w:default="1" w:styleId="12">
    <w:name w:val="Default Paragraph Font"/>
    <w:semiHidden/>
    <w:unhideWhenUsed/>
    <w:qFormat/>
    <w:uiPriority w:val="1"/>
  </w:style>
  <w:style w:type="table" w:default="1" w:styleId="15">
    <w:name w:val="Normal Table"/>
    <w:semiHidden/>
    <w:unhideWhenUsed/>
    <w:uiPriority w:val="99"/>
    <w:tblPr>
      <w:tblLayout w:type="fixed"/>
      <w:tblCellMar>
        <w:top w:w="0" w:type="dxa"/>
        <w:left w:w="108" w:type="dxa"/>
        <w:bottom w:w="0" w:type="dxa"/>
        <w:right w:w="108" w:type="dxa"/>
      </w:tblCellMar>
    </w:tblPr>
  </w:style>
  <w:style w:type="paragraph" w:styleId="5">
    <w:name w:val="Body Text"/>
    <w:basedOn w:val="1"/>
    <w:link w:val="21"/>
    <w:uiPriority w:val="99"/>
    <w:pPr>
      <w:spacing w:beforeLines="30"/>
    </w:pPr>
    <w:rPr>
      <w:rFonts w:ascii="仿宋_GB2312" w:eastAsia="仿宋_GB2312"/>
      <w:kern w:val="0"/>
      <w:sz w:val="30"/>
    </w:rPr>
  </w:style>
  <w:style w:type="paragraph" w:styleId="6">
    <w:name w:val="toc 3"/>
    <w:basedOn w:val="1"/>
    <w:next w:val="1"/>
    <w:unhideWhenUsed/>
    <w:qFormat/>
    <w:uiPriority w:val="39"/>
    <w:pPr>
      <w:tabs>
        <w:tab w:val="right" w:leader="dot" w:pos="8296"/>
      </w:tabs>
      <w:ind w:left="840" w:leftChars="400"/>
    </w:pPr>
  </w:style>
  <w:style w:type="paragraph" w:styleId="7">
    <w:name w:val="Balloon Text"/>
    <w:basedOn w:val="1"/>
    <w:link w:val="27"/>
    <w:semiHidden/>
    <w:unhideWhenUsed/>
    <w:uiPriority w:val="99"/>
    <w:rPr>
      <w:sz w:val="18"/>
      <w:szCs w:val="18"/>
    </w:rPr>
  </w:style>
  <w:style w:type="paragraph" w:styleId="8">
    <w:name w:val="footer"/>
    <w:basedOn w:val="1"/>
    <w:link w:val="19"/>
    <w:qFormat/>
    <w:uiPriority w:val="99"/>
    <w:pPr>
      <w:tabs>
        <w:tab w:val="center" w:pos="4153"/>
        <w:tab w:val="right" w:pos="8306"/>
      </w:tabs>
      <w:snapToGrid w:val="0"/>
      <w:jc w:val="left"/>
    </w:pPr>
    <w:rPr>
      <w:rFonts w:ascii="Calibri" w:hAnsi="Calibri"/>
      <w:kern w:val="0"/>
      <w:sz w:val="18"/>
      <w:szCs w:val="18"/>
    </w:rPr>
  </w:style>
  <w:style w:type="paragraph" w:styleId="9">
    <w:name w:val="header"/>
    <w:basedOn w:val="1"/>
    <w:link w:val="17"/>
    <w:semiHidden/>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0">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1">
    <w:name w:val="toc 2"/>
    <w:basedOn w:val="1"/>
    <w:next w:val="1"/>
    <w:unhideWhenUsed/>
    <w:qFormat/>
    <w:uiPriority w:val="39"/>
    <w:pPr>
      <w:tabs>
        <w:tab w:val="right" w:leader="dot" w:pos="8296"/>
      </w:tabs>
      <w:ind w:left="420" w:leftChars="200"/>
    </w:pPr>
  </w:style>
  <w:style w:type="character" w:styleId="13">
    <w:name w:val="Strong"/>
    <w:basedOn w:val="12"/>
    <w:qFormat/>
    <w:uiPriority w:val="99"/>
    <w:rPr>
      <w:b/>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customStyle="1" w:styleId="16">
    <w:name w:val="Header Char"/>
    <w:basedOn w:val="12"/>
    <w:semiHidden/>
    <w:qFormat/>
    <w:uiPriority w:val="99"/>
    <w:rPr>
      <w:rFonts w:ascii="Times New Roman" w:hAnsi="Times New Roman"/>
      <w:sz w:val="18"/>
      <w:szCs w:val="18"/>
    </w:rPr>
  </w:style>
  <w:style w:type="character" w:customStyle="1" w:styleId="17">
    <w:name w:val="页眉 字符"/>
    <w:link w:val="9"/>
    <w:semiHidden/>
    <w:qFormat/>
    <w:locked/>
    <w:uiPriority w:val="99"/>
    <w:rPr>
      <w:sz w:val="18"/>
    </w:rPr>
  </w:style>
  <w:style w:type="character" w:customStyle="1" w:styleId="18">
    <w:name w:val="Footer Char"/>
    <w:basedOn w:val="12"/>
    <w:semiHidden/>
    <w:qFormat/>
    <w:uiPriority w:val="99"/>
    <w:rPr>
      <w:rFonts w:ascii="Times New Roman" w:hAnsi="Times New Roman"/>
      <w:sz w:val="18"/>
      <w:szCs w:val="18"/>
    </w:rPr>
  </w:style>
  <w:style w:type="character" w:customStyle="1" w:styleId="19">
    <w:name w:val="页脚 字符"/>
    <w:link w:val="8"/>
    <w:qFormat/>
    <w:locked/>
    <w:uiPriority w:val="99"/>
    <w:rPr>
      <w:sz w:val="18"/>
    </w:rPr>
  </w:style>
  <w:style w:type="character" w:customStyle="1" w:styleId="20">
    <w:name w:val="Body Text Char"/>
    <w:basedOn w:val="12"/>
    <w:semiHidden/>
    <w:qFormat/>
    <w:uiPriority w:val="99"/>
    <w:rPr>
      <w:rFonts w:ascii="Times New Roman" w:hAnsi="Times New Roman"/>
      <w:szCs w:val="24"/>
    </w:rPr>
  </w:style>
  <w:style w:type="character" w:customStyle="1" w:styleId="21">
    <w:name w:val="正文文本 字符"/>
    <w:link w:val="5"/>
    <w:qFormat/>
    <w:locked/>
    <w:uiPriority w:val="99"/>
    <w:rPr>
      <w:rFonts w:ascii="仿宋_GB2312" w:hAnsi="Times New Roman" w:eastAsia="仿宋_GB2312"/>
      <w:sz w:val="24"/>
    </w:rPr>
  </w:style>
  <w:style w:type="paragraph" w:customStyle="1" w:styleId="22">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3">
    <w:name w:val="List Paragraph"/>
    <w:basedOn w:val="1"/>
    <w:qFormat/>
    <w:uiPriority w:val="34"/>
    <w:pPr>
      <w:ind w:firstLine="420" w:firstLineChars="200"/>
    </w:pPr>
  </w:style>
  <w:style w:type="character" w:customStyle="1" w:styleId="24">
    <w:name w:val="标题 1 字符"/>
    <w:basedOn w:val="12"/>
    <w:link w:val="2"/>
    <w:qFormat/>
    <w:uiPriority w:val="9"/>
    <w:rPr>
      <w:rFonts w:ascii="Times New Roman" w:hAnsi="Times New Roman"/>
      <w:b/>
      <w:bCs/>
      <w:kern w:val="44"/>
      <w:sz w:val="44"/>
      <w:szCs w:val="44"/>
    </w:rPr>
  </w:style>
  <w:style w:type="character" w:customStyle="1" w:styleId="25">
    <w:name w:val="标题 2 字符"/>
    <w:basedOn w:val="12"/>
    <w:link w:val="3"/>
    <w:qFormat/>
    <w:uiPriority w:val="9"/>
    <w:rPr>
      <w:rFonts w:asciiTheme="majorHAnsi" w:hAnsiTheme="majorHAnsi" w:eastAsiaTheme="majorEastAsia" w:cstheme="majorBidi"/>
      <w:b/>
      <w:bCs/>
      <w:kern w:val="2"/>
      <w:sz w:val="32"/>
      <w:szCs w:val="32"/>
    </w:rPr>
  </w:style>
  <w:style w:type="paragraph" w:customStyle="1" w:styleId="26">
    <w:name w:val="TOC Heading"/>
    <w:basedOn w:val="2"/>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7">
    <w:name w:val="批注框文本 字符"/>
    <w:basedOn w:val="12"/>
    <w:link w:val="7"/>
    <w:semiHidden/>
    <w:qFormat/>
    <w:uiPriority w:val="99"/>
    <w:rPr>
      <w:rFonts w:ascii="Times New Roman" w:hAnsi="Times New Roman"/>
      <w:kern w:val="2"/>
      <w:sz w:val="18"/>
      <w:szCs w:val="18"/>
    </w:rPr>
  </w:style>
  <w:style w:type="character" w:customStyle="1" w:styleId="28">
    <w:name w:val="标题 3 字符"/>
    <w:basedOn w:val="12"/>
    <w:link w:val="4"/>
    <w:qFormat/>
    <w:uiPriority w:val="9"/>
    <w:rPr>
      <w:rFonts w:ascii="Times New Roman" w:hAnsi="Times New Roman"/>
      <w:b/>
      <w:bCs/>
      <w:kern w:val="2"/>
      <w:sz w:val="32"/>
      <w:szCs w:val="32"/>
    </w:rPr>
  </w:style>
</w:styles>
</file>

<file path=word/_rels/document.xml.rels><?xml version="1.0" encoding="UTF-8" standalone="yes"?>
<Relationships xmlns="http://schemas.openxmlformats.org/package/2006/relationships"><Relationship Id="rId9" Type="http://schemas.openxmlformats.org/officeDocument/2006/relationships/chart" Target="charts/chart3.xml"/><Relationship Id="rId8" Type="http://schemas.openxmlformats.org/officeDocument/2006/relationships/chart" Target="charts/chart2.xml"/><Relationship Id="rId7" Type="http://schemas.openxmlformats.org/officeDocument/2006/relationships/chart" Target="charts/chart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2.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6.xml"/><Relationship Id="rId11" Type="http://schemas.openxmlformats.org/officeDocument/2006/relationships/chart" Target="charts/chart5.xml"/><Relationship Id="rId10" Type="http://schemas.openxmlformats.org/officeDocument/2006/relationships/chart" Target="charts/chart4.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3.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4.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收入决算结构图</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Lbls>
            <c:dLbl>
              <c:idx val="1"/>
              <c:layout>
                <c:manualLayout>
                  <c:x val="-0.0659381983711067"/>
                  <c:y val="0.17434597621978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2"/>
              <c:layout>
                <c:manualLayout>
                  <c:x val="0.168688978226353"/>
                  <c:y val="0.295441777321631"/>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3"/>
              <c:delete val="1"/>
            </c:dLbl>
            <c:dLbl>
              <c:idx val="4"/>
              <c:layout>
                <c:manualLayout>
                  <c:x val="-0.242763428739438"/>
                  <c:y val="0.466485036828522"/>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dLbl>
              <c:idx val="5"/>
              <c:layout>
                <c:manualLayout>
                  <c:x val="-0.234828057715287"/>
                  <c:y val="0.118475485187368"/>
                </c:manualLayout>
              </c:layout>
              <c:dLblPos val="bestFit"/>
              <c:showLegendKey val="0"/>
              <c:showVal val="0"/>
              <c:showCatName val="1"/>
              <c:showSerName val="0"/>
              <c:showPercent val="1"/>
              <c:showBubbleSize val="0"/>
              <c:separator>
</c:separator>
              <c:extLst>
                <c:ext xmlns:c15="http://schemas.microsoft.com/office/drawing/2012/chart" uri="{CE6537A1-D6FC-4f65-9D91-7224C49458BB}">
                  <c15:layout/>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1"/>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Sheet1!$A$2:$A$7</c:f>
              <c:strCache>
                <c:ptCount val="6"/>
                <c:pt idx="0">
                  <c:v>一般公共预算财政拨款收入</c:v>
                </c:pt>
                <c:pt idx="1">
                  <c:v>政府性基金预算财政拨款收入</c:v>
                </c:pt>
                <c:pt idx="2">
                  <c:v>国有资本经营预算财政拨款收入</c:v>
                </c:pt>
                <c:pt idx="3">
                  <c:v>经营收入</c:v>
                </c:pt>
                <c:pt idx="4">
                  <c:v>附属单位上缴收入</c:v>
                </c:pt>
                <c:pt idx="5">
                  <c:v>其他收入</c:v>
                </c:pt>
              </c:strCache>
            </c:strRef>
          </c:cat>
          <c:val>
            <c:numRef>
              <c:f>Sheet1!$B$2:$B$7</c:f>
              <c:numCache>
                <c:formatCode>General</c:formatCode>
                <c:ptCount val="6"/>
                <c:pt idx="0">
                  <c:v>263.13</c:v>
                </c:pt>
                <c:pt idx="1">
                  <c:v>0</c:v>
                </c:pt>
                <c:pt idx="2">
                  <c:v>0</c:v>
                </c:pt>
                <c:pt idx="3">
                  <c:v>0</c:v>
                </c:pt>
                <c:pt idx="4">
                  <c:v>0</c:v>
                </c:pt>
                <c:pt idx="5">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支出决算结构图</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Lbls>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Sheet1!$A$2:$A$6</c:f>
              <c:strCache>
                <c:ptCount val="5"/>
                <c:pt idx="0">
                  <c:v>基本支出</c:v>
                </c:pt>
                <c:pt idx="1">
                  <c:v>项目支出</c:v>
                </c:pt>
                <c:pt idx="2">
                  <c:v>上缴上级支出</c:v>
                </c:pt>
                <c:pt idx="3">
                  <c:v>经营支出</c:v>
                </c:pt>
                <c:pt idx="4">
                  <c:v>对附属单位补助支出</c:v>
                </c:pt>
              </c:strCache>
            </c:strRef>
          </c:cat>
          <c:val>
            <c:numRef>
              <c:f>Sheet1!$B$2:$B$6</c:f>
              <c:numCache>
                <c:formatCode>General</c:formatCode>
                <c:ptCount val="5"/>
                <c:pt idx="0">
                  <c:v>260.14</c:v>
                </c:pt>
                <c:pt idx="1">
                  <c:v>0</c:v>
                </c:pt>
                <c:pt idx="2">
                  <c:v>0</c:v>
                </c:pt>
                <c:pt idx="3">
                  <c:v>0</c:v>
                </c:pt>
                <c:pt idx="4">
                  <c:v>0</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财政拨款收、支决算总计变动情况</a:t>
            </a:r>
          </a:p>
        </c:rich>
      </c:tx>
      <c:layout/>
      <c:overlay val="0"/>
      <c:spPr>
        <a:noFill/>
        <a:ln>
          <a:noFill/>
        </a:ln>
        <a:effectLst/>
      </c:spPr>
    </c:title>
    <c:autoTitleDeleted val="0"/>
    <c:plotArea>
      <c:layout/>
      <c:barChart>
        <c:barDir val="col"/>
        <c:grouping val="clustered"/>
        <c:varyColors val="0"/>
        <c:ser>
          <c:idx val="0"/>
          <c:order val="0"/>
          <c:tx>
            <c:strRef>
              <c:f>Sheet1!#REF!</c:f>
              <c:strCache>
                <c:ptCount val="1"/>
                <c:pt idx="0">
                  <c:v/>
                </c:pt>
              </c:strCache>
            </c:strRef>
          </c:tx>
          <c:spPr>
            <a:solidFill>
              <a:schemeClr val="accent1"/>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财政拨款总收入</c:v>
                </c:pt>
                <c:pt idx="1">
                  <c:v>财政拨款总支出</c:v>
                </c:pt>
              </c:strCache>
            </c:strRef>
          </c:cat>
          <c:val>
            <c:numRef>
              <c:f>Sheet1!$B$2:$B$5</c:f>
              <c:numCache>
                <c:formatCode>General</c:formatCode>
                <c:ptCount val="4"/>
                <c:pt idx="0">
                  <c:v>0</c:v>
                </c:pt>
                <c:pt idx="1">
                  <c:v>0</c:v>
                </c:pt>
              </c:numCache>
            </c:numRef>
          </c:val>
        </c:ser>
        <c:ser>
          <c:idx val="1"/>
          <c:order val="1"/>
          <c:tx>
            <c:strRef>
              <c:f>Sheet1!#REF!</c:f>
              <c:strCache>
                <c:ptCount val="1"/>
                <c:pt idx="0">
                  <c:v/>
                </c:pt>
              </c:strCache>
            </c:strRef>
          </c:tx>
          <c:spPr>
            <a:solidFill>
              <a:schemeClr val="accent2"/>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财政拨款总收入</c:v>
                </c:pt>
                <c:pt idx="1">
                  <c:v>财政拨款总支出</c:v>
                </c:pt>
              </c:strCache>
            </c:strRef>
          </c:cat>
          <c:val>
            <c:numRef>
              <c:f>Sheet1!$C$2:$C$5</c:f>
              <c:numCache>
                <c:formatCode>General</c:formatCode>
                <c:ptCount val="4"/>
                <c:pt idx="0">
                  <c:v>263.13</c:v>
                </c:pt>
                <c:pt idx="1">
                  <c:v>260.14</c:v>
                </c:pt>
              </c:numCache>
            </c:numRef>
          </c:val>
        </c:ser>
        <c:ser>
          <c:idx val="2"/>
          <c:order val="2"/>
          <c:tx>
            <c:strRef>
              <c:f>Sheet1!$D$1</c:f>
              <c:strCache>
                <c:ptCount val="1"/>
                <c:pt idx="0">
                  <c:v/>
                </c:pt>
              </c:strCache>
            </c:strRef>
          </c:tx>
          <c:spPr>
            <a:solidFill>
              <a:schemeClr val="accent3"/>
            </a:solidFill>
            <a:ln>
              <a:noFill/>
            </a:ln>
            <a:effectLst/>
          </c:spPr>
          <c:invertIfNegative val="0"/>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in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财政拨款总收入</c:v>
                </c:pt>
                <c:pt idx="1">
                  <c:v>财政拨款总支出</c:v>
                </c:pt>
              </c:strCache>
            </c:strRef>
          </c:cat>
          <c:val>
            <c:numRef>
              <c:f>Sheet1!$D$2:$D$5</c:f>
              <c:numCache>
                <c:formatCode>General</c:formatCode>
                <c:ptCount val="4"/>
              </c:numCache>
            </c:numRef>
          </c:val>
        </c:ser>
        <c:dLbls>
          <c:showLegendKey val="0"/>
          <c:showVal val="1"/>
          <c:showCatName val="0"/>
          <c:showSerName val="0"/>
          <c:showPercent val="0"/>
          <c:showBubbleSize val="0"/>
        </c:dLbls>
        <c:gapWidth val="219"/>
        <c:overlap val="-27"/>
        <c:axId val="905630582"/>
        <c:axId val="853404660"/>
      </c:barChart>
      <c:catAx>
        <c:axId val="905630582"/>
        <c:scaling>
          <c:orientation val="minMax"/>
        </c:scaling>
        <c:delete val="0"/>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853404660"/>
        <c:crosses val="autoZero"/>
        <c:auto val="1"/>
        <c:lblAlgn val="ctr"/>
        <c:lblOffset val="100"/>
        <c:noMultiLvlLbl val="0"/>
      </c:catAx>
      <c:valAx>
        <c:axId val="8534046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905630582"/>
        <c:crosses val="autoZero"/>
        <c:crossBetween val="between"/>
      </c:valAx>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600" b="1" i="0" u="none" strike="noStrike" kern="1200" cap="all" spc="120" normalizeH="0" baseline="0">
                <a:solidFill>
                  <a:schemeClr val="tx1">
                    <a:lumMod val="65000"/>
                    <a:lumOff val="35000"/>
                  </a:schemeClr>
                </a:solidFill>
                <a:latin typeface="+mn-lt"/>
                <a:ea typeface="+mn-ea"/>
                <a:cs typeface="+mn-cs"/>
              </a:defRPr>
            </a:pPr>
            <a:r>
              <a:t>一般公共预算财政拨款支出决算变动情况</a:t>
            </a:r>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一般公共预算财政拨款支出</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lang="zh-CN" sz="800" b="0" i="0" u="none" strike="noStrike" kern="1200" baseline="0">
                    <a:solidFill>
                      <a:schemeClr val="tx1">
                        <a:lumMod val="50000"/>
                        <a:lumOff val="50000"/>
                      </a:schemeClr>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a:solidFill>
                        <a:schemeClr val="tx1">
                          <a:lumMod val="35000"/>
                          <a:lumOff val="65000"/>
                        </a:schemeClr>
                      </a:solidFill>
                    </a:ln>
                    <a:effectLst/>
                  </c:spPr>
                </c15:leaderLines>
              </c:ext>
            </c:extLst>
          </c:dLbls>
          <c:cat>
            <c:numRef>
              <c:f>Sheet1!$A$2:$A$3</c:f>
              <c:numCache>
                <c:formatCode>General</c:formatCode>
                <c:ptCount val="2"/>
                <c:pt idx="0">
                  <c:v>2017</c:v>
                </c:pt>
                <c:pt idx="1">
                  <c:v>2018</c:v>
                </c:pt>
              </c:numCache>
            </c:numRef>
          </c:cat>
          <c:val>
            <c:numRef>
              <c:f>Sheet1!$B$2:$B$3</c:f>
              <c:numCache>
                <c:formatCode>General</c:formatCode>
                <c:ptCount val="2"/>
                <c:pt idx="0">
                  <c:v>0</c:v>
                </c:pt>
                <c:pt idx="1">
                  <c:v>260.14</c:v>
                </c:pt>
              </c:numCache>
            </c:numRef>
          </c:val>
        </c:ser>
        <c:dLbls>
          <c:showLegendKey val="0"/>
          <c:showVal val="1"/>
          <c:showCatName val="0"/>
          <c:showSerName val="0"/>
          <c:showPercent val="0"/>
          <c:showBubbleSize val="0"/>
        </c:dLbls>
        <c:gapWidth val="444"/>
        <c:overlap val="-90"/>
        <c:axId val="34783124"/>
        <c:axId val="284118209"/>
      </c:barChart>
      <c:catAx>
        <c:axId val="34783124"/>
        <c:scaling>
          <c:orientation val="minMax"/>
        </c:scaling>
        <c:delete val="0"/>
        <c:axPos val="b"/>
        <c:majorGridlines>
          <c:spPr>
            <a:ln w="9525" cap="flat" cmpd="sng" algn="ctr">
              <a:solidFill>
                <a:schemeClr val="tx1">
                  <a:lumMod val="15000"/>
                  <a:lumOff val="85000"/>
                </a:schemeClr>
              </a:solidFill>
              <a:round/>
            </a:ln>
            <a:effectLst/>
          </c:spPr>
        </c:majorGridlines>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cap="all" spc="120" normalizeH="0" baseline="0">
                <a:solidFill>
                  <a:schemeClr val="tx1">
                    <a:lumMod val="65000"/>
                    <a:lumOff val="35000"/>
                  </a:schemeClr>
                </a:solidFill>
                <a:latin typeface="+mn-lt"/>
                <a:ea typeface="+mn-ea"/>
                <a:cs typeface="+mn-cs"/>
              </a:defRPr>
            </a:pPr>
          </a:p>
        </c:txPr>
        <c:crossAx val="284118209"/>
        <c:crosses val="autoZero"/>
        <c:auto val="1"/>
        <c:lblAlgn val="ctr"/>
        <c:lblOffset val="100"/>
        <c:noMultiLvlLbl val="0"/>
      </c:catAx>
      <c:valAx>
        <c:axId val="284118209"/>
        <c:scaling>
          <c:orientation val="minMax"/>
        </c:scaling>
        <c:delete val="1"/>
        <c:axPos val="l"/>
        <c:numFmt formatCode="General" sourceLinked="1"/>
        <c:majorTickMark val="none"/>
        <c:minorTickMark val="none"/>
        <c:tickLblPos val="nextTo"/>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34783124"/>
        <c:crosses val="autoZero"/>
        <c:crossBetween val="between"/>
      </c:valAx>
      <c:spPr>
        <a:noFill/>
        <a:ln>
          <a:noFill/>
        </a:ln>
        <a:effectLst/>
      </c:spPr>
    </c:plotArea>
    <c:legend>
      <c:legendPos val="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800" b="1" i="0" u="none" strike="noStrike" kern="1200" baseline="0">
              <a:solidFill>
                <a:schemeClr val="dk1">
                  <a:lumMod val="75000"/>
                  <a:lumOff val="25000"/>
                </a:schemeClr>
              </a:solidFill>
              <a:latin typeface="+mn-lt"/>
              <a:ea typeface="+mn-ea"/>
              <a:cs typeface="+mn-cs"/>
            </a:defRPr>
          </a:pPr>
        </a:p>
      </c:txPr>
    </c:title>
    <c:autoTitleDeleted val="0"/>
    <c:plotArea>
      <c:layout/>
      <c:pieChart>
        <c:varyColors val="1"/>
        <c:ser>
          <c:idx val="0"/>
          <c:order val="0"/>
          <c:tx>
            <c:strRef>
              <c:f>Sheet1!$B$1</c:f>
              <c:strCache>
                <c:ptCount val="1"/>
                <c:pt idx="0">
                  <c:v>一般公共预算财政拨款支出决算结构</c:v>
                </c:pt>
              </c:strCache>
            </c:strRef>
          </c:tx>
          <c:spPr/>
          <c:explosion val="0"/>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Lbls>
            <c:dLbl>
              <c:idx val="0"/>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11</a:t>
                    </a:r>
                    <a:r>
                      <a:rPr lang="en-US" altLang="zh-CN"/>
                      <a:t>.18</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1"/>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4.61</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2"/>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rPr lang="en-US" altLang="zh-CN"/>
                      <a:t>6.95</a:t>
                    </a:r>
                    <a:r>
                      <a:t>%</a:t>
                    </a:r>
                  </a:p>
                </c:rich>
              </c:tx>
              <c:dLblPos val="ctr"/>
              <c:showLegendKey val="0"/>
              <c:showVal val="0"/>
              <c:showCatName val="0"/>
              <c:showSerName val="0"/>
              <c:showPercent val="1"/>
              <c:showBubbleSize val="0"/>
              <c:extLst>
                <c:ext xmlns:c15="http://schemas.microsoft.com/office/drawing/2012/chart" uri="{CE6537A1-D6FC-4f65-9D91-7224C49458BB}"/>
              </c:extLst>
            </c:dLbl>
            <c:dLbl>
              <c:idx val="3"/>
              <c:layout/>
              <c:tx>
                <c:rich>
                  <a:bodyPr rot="0" spcFirstLastPara="0" vertOverflow="ellipsis" vert="horz" wrap="square" lIns="38100" tIns="19050" rIns="38100" bIns="19050" anchor="ctr" anchorCtr="1"/>
                  <a:lstStyle/>
                  <a:p>
                    <a:pPr defTabSz="914400">
                      <a:defRPr lang="zh-CN" sz="1000" b="1" i="0" u="none" strike="noStrike" kern="1200" baseline="0">
                        <a:solidFill>
                          <a:schemeClr val="lt1"/>
                        </a:solidFill>
                        <a:latin typeface="+mn-lt"/>
                        <a:ea typeface="+mn-ea"/>
                        <a:cs typeface="+mn-cs"/>
                      </a:defRPr>
                    </a:pPr>
                    <a:r>
                      <a:t>77</a:t>
                    </a:r>
                    <a:r>
                      <a:rPr lang="en-US" altLang="zh-CN"/>
                      <a:t>.26</a:t>
                    </a:r>
                    <a:r>
                      <a:t>%</a:t>
                    </a:r>
                  </a:p>
                </c:rich>
              </c:tx>
              <c:dLblPos val="ctr"/>
              <c:showLegendKey val="0"/>
              <c:showVal val="0"/>
              <c:showCatName val="0"/>
              <c:showSerName val="0"/>
              <c:showPercent val="1"/>
              <c:showBubbleSize val="0"/>
              <c:extLs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0" vertOverflow="ellipsis" vert="horz" wrap="square" lIns="38100" tIns="19050" rIns="38100" bIns="19050" anchor="ctr" anchorCtr="1"/>
              <a:lstStyle/>
              <a:p>
                <a:pPr>
                  <a:defRPr lang="zh-CN" sz="1000" b="1" i="0" u="none" strike="noStrike" kern="1200" baseline="0">
                    <a:solidFill>
                      <a:schemeClr val="lt1"/>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a:solidFill>
                        <a:schemeClr val="dk1">
                          <a:lumMod val="50000"/>
                          <a:lumOff val="50000"/>
                        </a:schemeClr>
                      </a:solidFill>
                    </a:ln>
                    <a:effectLst/>
                  </c:spPr>
                </c15:leaderLines>
              </c:ext>
            </c:extLst>
          </c:dLbls>
          <c:cat>
            <c:strRef>
              <c:f>Sheet1!$A$2:$A$5</c:f>
              <c:strCache>
                <c:ptCount val="4"/>
                <c:pt idx="0">
                  <c:v>社会保障和就业支出</c:v>
                </c:pt>
                <c:pt idx="1">
                  <c:v>医疗卫生支出</c:v>
                </c:pt>
                <c:pt idx="2">
                  <c:v>住房保障支出</c:v>
                </c:pt>
                <c:pt idx="3">
                  <c:v>国土海洋气象等支出</c:v>
                </c:pt>
              </c:strCache>
            </c:strRef>
          </c:cat>
          <c:val>
            <c:numRef>
              <c:f>Sheet1!$B$2:$B$5</c:f>
              <c:numCache>
                <c:formatCode>0.00%</c:formatCode>
                <c:ptCount val="4"/>
                <c:pt idx="0">
                  <c:v>0.1118</c:v>
                </c:pt>
                <c:pt idx="1">
                  <c:v>0.0461</c:v>
                </c:pt>
                <c:pt idx="2">
                  <c:v>0.0695</c:v>
                </c:pt>
                <c:pt idx="3">
                  <c:v>0.7726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r"/>
      <c:layout/>
      <c:overlay val="0"/>
      <c:spPr>
        <a:solidFill>
          <a:schemeClr val="lt1">
            <a:lumMod val="95000"/>
            <a:alpha val="39000"/>
          </a:schemeClr>
        </a:solidFill>
        <a:ln>
          <a:noFill/>
        </a:ln>
        <a:effectLst/>
      </c:spPr>
      <c:txPr>
        <a:bodyPr rot="0" spcFirstLastPara="0" vertOverflow="ellipsis" vert="horz" wrap="square" anchor="ctr" anchorCtr="1"/>
        <a:lstStyle/>
        <a:p>
          <a:pPr>
            <a:defRPr lang="zh-CN" sz="900" b="0" i="0" u="none" strike="noStrike" kern="1200" baseline="0">
              <a:solidFill>
                <a:schemeClr val="dk1">
                  <a:lumMod val="75000"/>
                  <a:lumOff val="25000"/>
                </a:schemeClr>
              </a:solidFill>
              <a:latin typeface="+mn-lt"/>
              <a:ea typeface="+mn-ea"/>
              <a:cs typeface="+mn-cs"/>
            </a:defRPr>
          </a:pPr>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spPr>
        <a:noFill/>
        <a:ln>
          <a:noFill/>
        </a:ln>
        <a:effectLst/>
      </c:spPr>
      <c:txPr>
        <a:bodyPr rot="0" spcFirstLastPara="0" vertOverflow="ellipsis" vert="horz" wrap="square" anchor="ctr" anchorCtr="1"/>
        <a:lstStyle/>
        <a:p>
          <a:pPr>
            <a:defRPr lang="zh-CN" sz="1400" b="0" i="0" u="none" strike="noStrike" kern="1200" spc="0" baseline="0">
              <a:solidFill>
                <a:schemeClr val="tx1">
                  <a:lumMod val="65000"/>
                  <a:lumOff val="35000"/>
                </a:schemeClr>
              </a:solidFill>
              <a:latin typeface="+mn-lt"/>
              <a:ea typeface="+mn-ea"/>
              <a:cs typeface="+mn-cs"/>
            </a:defRPr>
          </a:pPr>
        </a:p>
      </c:txPr>
    </c:title>
    <c:autoTitleDeleted val="0"/>
    <c:plotArea>
      <c:layout/>
      <c:pieChart>
        <c:varyColors val="1"/>
        <c:ser>
          <c:idx val="0"/>
          <c:order val="0"/>
          <c:tx>
            <c:strRef>
              <c:f>Sheet1!$B$1</c:f>
              <c:strCache>
                <c:ptCount val="1"/>
                <c:pt idx="0">
                  <c:v>“三公”经费财政拨款支出结构</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ctr"/>
            <c:showLegendKey val="0"/>
            <c:showVal val="0"/>
            <c:showCatName val="0"/>
            <c:showSerName val="0"/>
            <c:showPercent val="1"/>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multiLvlStrRef>
              <c:f>Sheet1!$A$2:$B$4</c:f>
              <c:multiLvlStrCache>
                <c:ptCount val="3"/>
                <c:lvl>
                  <c:pt idx="0">
                    <c:v>0</c:v>
                  </c:pt>
                  <c:pt idx="1">
                    <c:v>0</c:v>
                  </c:pt>
                  <c:pt idx="2">
                    <c:v>0.6</c:v>
                  </c:pt>
                </c:lvl>
                <c:lvl>
                  <c:pt idx="0">
                    <c:v>因公出国（境）费支出</c:v>
                  </c:pt>
                  <c:pt idx="1">
                    <c:v>公务用车购置及运行维护费支出</c:v>
                  </c:pt>
                  <c:pt idx="2">
                    <c:v>公务接待费支出</c:v>
                  </c:pt>
                </c:lvl>
              </c:multiLvlStrCache>
            </c:multiLvlStrRef>
          </c:cat>
          <c:val>
            <c:numRef>
              <c:f>Sheet1!$B$2:$B$4</c:f>
              <c:numCache>
                <c:formatCode>General</c:formatCode>
                <c:ptCount val="3"/>
                <c:pt idx="0">
                  <c:v>0</c:v>
                </c:pt>
                <c:pt idx="1">
                  <c:v>0</c:v>
                </c:pt>
                <c:pt idx="2">
                  <c:v>0.6</c:v>
                </c:pt>
              </c:numCache>
            </c:numRef>
          </c:val>
        </c:ser>
        <c:dLbls>
          <c:showLegendKey val="0"/>
          <c:showVal val="0"/>
          <c:showCatName val="0"/>
          <c:showSerName val="0"/>
          <c:showPercent val="1"/>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2">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800" kern="1200" cap="all" spc="120" normalizeH="0" baseline="0"/>
  </cs:categoryAxis>
  <cs:chartArea mods="allowNoFillOverride allowNoLineOverride">
    <cs:lnRef idx="0"/>
    <cs:fillRef idx="0"/>
    <cs:effectRef idx="0"/>
    <cs:fontRef idx="minor">
      <a:schemeClr val="dk1"/>
    </cs:fontRef>
    <cs:spPr>
      <a:solidFill>
        <a:schemeClr val="lt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50000"/>
        <a:lumOff val="50000"/>
      </a:schemeClr>
    </cs:fontRef>
    <cs:defRPr sz="800" b="0" i="0" u="none" strike="noStrike" kern="1200" baseline="0"/>
    <cs:bodyPr rot="-5400000" spcFirstLastPara="1" vertOverflow="clip" horzOverflow="clip" vert="horz" wrap="square" lIns="38100" tIns="19050" rIns="38100" bIns="19050" anchor="ctr" anchorCtr="1">
      <a:spAutoFit/>
    </cs:bodyPr>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phClr"/>
      </a:solidFill>
      <a:ln w="9525">
        <a:solidFill>
          <a:schemeClr val="phClr"/>
        </a:solidFill>
        <a:round/>
      </a:ln>
    </cs:spPr>
  </cs:dataPointMarker>
  <cs:dataPointMarkerLayout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15000"/>
            <a:lumOff val="85000"/>
          </a:schemeClr>
        </a:solidFill>
      </a:ln>
    </cs:spPr>
  </cs:downBar>
  <cs:dropLine>
    <cs:lnRef idx="0"/>
    <cs:fillRef idx="0"/>
    <cs:effectRef idx="0"/>
    <cs:fontRef idx="minor">
      <a:schemeClr val="dk1"/>
    </cs:fontRef>
    <cs:spPr>
      <a:ln w="9525">
        <a:solidFill>
          <a:schemeClr val="tx1">
            <a:lumMod val="35000"/>
            <a:lumOff val="65000"/>
          </a:schemeClr>
        </a:solidFill>
      </a:ln>
    </cs:spPr>
  </cs:dropLine>
  <cs:errorBar>
    <cs:lnRef idx="0"/>
    <cs:fillRef idx="0"/>
    <cs:effectRef idx="0"/>
    <cs:fontRef idx="minor">
      <a:schemeClr val="dk1"/>
    </cs:fontRef>
    <cs:spPr>
      <a:ln w="9525">
        <a:solidFill>
          <a:schemeClr val="tx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50000"/>
            <a:lumOff val="50000"/>
          </a:schemeClr>
        </a:solidFill>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cap="all" spc="120" normalizeH="0" baseline="0"/>
  </cs:title>
  <cs:trendline>
    <cs:lnRef idx="0">
      <cs:styleClr val="auto"/>
    </cs:lnRef>
    <cs:fillRef idx="0"/>
    <cs:effectRef idx="0"/>
    <cs:fontRef idx="minor">
      <a:schemeClr val="dk1"/>
    </cs:fontRef>
    <cs:spPr>
      <a:ln w="19050" cap="rnd">
        <a:solidFill>
          <a:schemeClr val="phClr"/>
        </a:solidFill>
        <a:prstDash val="sysDash"/>
      </a:ln>
    </cs:spPr>
  </cs:trendline>
  <cs:trendlineLabel>
    <cs:lnRef idx="0"/>
    <cs:fillRef idx="0"/>
    <cs:effectRef idx="0"/>
    <cs:fontRef idx="minor">
      <a:schemeClr val="tx1">
        <a:lumMod val="65000"/>
        <a:lumOff val="35000"/>
      </a:schemeClr>
    </cs:fontRef>
    <cs:defRPr sz="800" kern="1200"/>
  </cs:trendlineLabel>
  <cs:upBar>
    <cs:lnRef idx="0"/>
    <cs:fillRef idx="0"/>
    <cs:effectRef idx="0"/>
    <cs:fontRef idx="minor">
      <a:schemeClr val="dk1"/>
    </cs:fontRef>
    <cs:spPr>
      <a:solidFill>
        <a:schemeClr val="lt1"/>
      </a:solidFill>
      <a:ln w="9525">
        <a:solidFill>
          <a:schemeClr val="tx1">
            <a:lumMod val="65000"/>
            <a:lumOff val="35000"/>
          </a:schemeClr>
        </a:solidFill>
      </a:ln>
    </cs:spPr>
  </cs:upBar>
  <cs:valueAxis>
    <cs:lnRef idx="0"/>
    <cs:fillRef idx="0"/>
    <cs:effectRef idx="0"/>
    <cs:fontRef idx="minor">
      <a:schemeClr val="tx1">
        <a:lumMod val="65000"/>
        <a:lumOff val="35000"/>
      </a:schemeClr>
    </cs:fontRef>
    <cs:spPr>
      <a:ln w="9525" cap="flat" cmpd="sng" algn="ctr">
        <a:solidFill>
          <a:schemeClr val="dk1">
            <a:lumMod val="15000"/>
            <a:lumOff val="85000"/>
          </a:schemeClr>
        </a:solidFill>
        <a:round/>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719061F-9DEB-4A9F-88AA-EE9BD1D1E5F1}">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22</Pages>
  <Words>1451</Words>
  <Characters>8277</Characters>
  <Lines>68</Lines>
  <Paragraphs>19</Paragraphs>
  <TotalTime>6</TotalTime>
  <ScaleCrop>false</ScaleCrop>
  <LinksUpToDate>false</LinksUpToDate>
  <CharactersWithSpaces>9709</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2019-08-01T01:14:00Z</dcterms:created>
  <dc:creator>张彬茜</dc:creator>
  <cp:lastModifiedBy>Cherry</cp:lastModifiedBy>
  <cp:lastPrinted>2019-08-01T00:48:00Z</cp:lastPrinted>
  <dcterms:modified xsi:type="dcterms:W3CDTF">2019-09-19T08:06:23Z</dcterms:modified>
  <dc:title>四川省***</dc:title>
  <cp:revision>24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